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cs="Times New Roman"/>
          <w:vanish/>
          <w:sz w:val="24"/>
        </w:rPr>
      </w:pPr>
    </w:p>
    <w:p>
      <w:pPr>
        <w:rPr>
          <w:rFonts w:ascii="Times New Roman" w:hAnsi="Times New Roman" w:cs="Times New Roman"/>
          <w:vanish/>
          <w:sz w:val="24"/>
        </w:rPr>
      </w:pPr>
    </w:p>
    <w:p>
      <w:pPr>
        <w:rPr>
          <w:rFonts w:ascii="Times New Roman" w:hAnsi="Times New Roman" w:cs="Times New Roman"/>
        </w:rPr>
      </w:pPr>
    </w:p>
    <w:p>
      <w:pPr>
        <w:rPr>
          <w:rFonts w:ascii="Times New Roman" w:hAnsi="Times New Roman" w:eastAsia="方正仿宋简体" w:cs="Times New Roman"/>
          <w:sz w:val="32"/>
          <w:szCs w:val="32"/>
        </w:rPr>
      </w:pPr>
    </w:p>
    <w:p>
      <w:pPr>
        <w:spacing w:line="60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2022</w:t>
      </w:r>
      <w:r>
        <w:rPr>
          <w:rFonts w:ascii="Times New Roman" w:hAnsi="方正小标宋简体" w:eastAsia="方正小标宋简体" w:cs="Times New Roman"/>
          <w:sz w:val="44"/>
          <w:szCs w:val="44"/>
        </w:rPr>
        <w:t>年度青少年事业发展专项资金</w:t>
      </w:r>
    </w:p>
    <w:p>
      <w:pPr>
        <w:spacing w:line="600" w:lineRule="exact"/>
        <w:jc w:val="center"/>
        <w:rPr>
          <w:rFonts w:ascii="Times New Roman" w:hAnsi="Times New Roman" w:eastAsia="方正小标宋简体" w:cs="Times New Roman"/>
          <w:sz w:val="44"/>
          <w:szCs w:val="44"/>
        </w:rPr>
      </w:pPr>
      <w:r>
        <w:rPr>
          <w:rFonts w:ascii="Times New Roman" w:hAnsi="方正小标宋简体" w:eastAsia="方正小标宋简体" w:cs="Times New Roman"/>
          <w:sz w:val="44"/>
          <w:szCs w:val="44"/>
        </w:rPr>
        <w:t>绩效自评报告</w:t>
      </w:r>
    </w:p>
    <w:p>
      <w:pPr>
        <w:rPr>
          <w:rFonts w:ascii="Times New Roman" w:hAnsi="Times New Roman" w:eastAsia="方正仿宋简体" w:cs="Times New Roman"/>
          <w:sz w:val="32"/>
          <w:szCs w:val="32"/>
        </w:rPr>
      </w:pPr>
      <w:r>
        <w:rPr>
          <w:rFonts w:ascii="Times New Roman" w:hAnsi="Times New Roman" w:eastAsia="方正仿宋简体" w:cs="Times New Roman"/>
          <w:sz w:val="32"/>
          <w:szCs w:val="32"/>
        </w:rPr>
        <w:tab/>
      </w:r>
      <w:r>
        <w:rPr>
          <w:rFonts w:ascii="Times New Roman" w:hAnsi="Times New Roman" w:eastAsia="方正仿宋简体" w:cs="Times New Roman"/>
          <w:sz w:val="32"/>
          <w:szCs w:val="32"/>
        </w:rPr>
        <w:t> </w:t>
      </w:r>
      <w:r>
        <w:rPr>
          <w:rFonts w:ascii="Times New Roman" w:hAnsi="Times New Roman" w:eastAsia="方正仿宋简体" w:cs="Times New Roman"/>
          <w:sz w:val="32"/>
          <w:szCs w:val="32"/>
        </w:rPr>
        <w:tab/>
      </w:r>
      <w:r>
        <w:rPr>
          <w:rFonts w:ascii="Times New Roman" w:hAnsi="Times New Roman" w:eastAsia="方正仿宋简体" w:cs="Times New Roman"/>
          <w:sz w:val="32"/>
          <w:szCs w:val="32"/>
        </w:rPr>
        <w:t> </w:t>
      </w:r>
      <w:r>
        <w:rPr>
          <w:rFonts w:ascii="Times New Roman" w:hAnsi="Times New Roman" w:eastAsia="方正仿宋简体" w:cs="Times New Roman"/>
          <w:sz w:val="32"/>
          <w:szCs w:val="32"/>
        </w:rPr>
        <w:tab/>
      </w:r>
      <w:r>
        <w:rPr>
          <w:rFonts w:ascii="Times New Roman" w:hAnsi="Times New Roman" w:eastAsia="方正仿宋简体" w:cs="Times New Roman"/>
          <w:sz w:val="32"/>
          <w:szCs w:val="32"/>
        </w:rPr>
        <w:t> </w:t>
      </w:r>
    </w:p>
    <w:p>
      <w:pPr>
        <w:spacing w:line="600" w:lineRule="exact"/>
        <w:ind w:firstLine="640" w:firstLineChars="200"/>
        <w:rPr>
          <w:rFonts w:ascii="Times New Roman" w:hAnsi="Times New Roman" w:eastAsia="方正仿宋简体" w:cs="Times New Roman"/>
          <w:sz w:val="32"/>
          <w:szCs w:val="32"/>
        </w:rPr>
      </w:pPr>
      <w:r>
        <w:rPr>
          <w:rFonts w:ascii="Times New Roman" w:hAnsi="黑体" w:eastAsia="黑体" w:cs="Times New Roman"/>
          <w:sz w:val="32"/>
          <w:szCs w:val="32"/>
        </w:rPr>
        <w:t>一、项目概况</w:t>
      </w:r>
    </w:p>
    <w:p>
      <w:pPr>
        <w:spacing w:line="600" w:lineRule="exact"/>
        <w:ind w:firstLine="640" w:firstLineChars="200"/>
        <w:rPr>
          <w:rFonts w:ascii="Times New Roman" w:hAnsi="Times New Roman" w:eastAsia="方正仿宋简体" w:cs="Times New Roman"/>
          <w:sz w:val="32"/>
          <w:szCs w:val="32"/>
          <w:shd w:val="clear" w:color="FFFFFF" w:fill="D9D9D9"/>
        </w:rPr>
      </w:pPr>
      <w:r>
        <w:rPr>
          <w:rFonts w:ascii="Times New Roman" w:hAnsi="方正仿宋简体" w:eastAsia="方正仿宋简体" w:cs="Times New Roman"/>
          <w:sz w:val="32"/>
          <w:szCs w:val="32"/>
        </w:rPr>
        <w:t>根据《中共湖南省委关于加强和改进党的群团工作的实施意见》</w:t>
      </w:r>
      <w:r>
        <w:rPr>
          <w:rFonts w:ascii="Times New Roman" w:hAnsi="仿宋" w:eastAsia="仿宋" w:cs="Times New Roman"/>
          <w:color w:val="000000"/>
          <w:sz w:val="32"/>
          <w:szCs w:val="32"/>
        </w:rPr>
        <w:t>（湘发〔</w:t>
      </w:r>
      <w:r>
        <w:rPr>
          <w:rFonts w:ascii="Times New Roman" w:hAnsi="Times New Roman" w:eastAsia="仿宋" w:cs="Times New Roman"/>
          <w:color w:val="000000"/>
          <w:sz w:val="32"/>
          <w:szCs w:val="32"/>
        </w:rPr>
        <w:t>2015</w:t>
      </w:r>
      <w:r>
        <w:rPr>
          <w:rFonts w:ascii="Times New Roman" w:hAnsi="仿宋" w:eastAsia="仿宋" w:cs="Times New Roman"/>
          <w:color w:val="000000"/>
          <w:sz w:val="32"/>
          <w:szCs w:val="32"/>
        </w:rPr>
        <w:t>〕</w:t>
      </w:r>
      <w:r>
        <w:rPr>
          <w:rFonts w:ascii="Times New Roman" w:hAnsi="Times New Roman" w:eastAsia="仿宋" w:cs="Times New Roman"/>
          <w:color w:val="000000"/>
          <w:sz w:val="32"/>
          <w:szCs w:val="32"/>
        </w:rPr>
        <w:t>16</w:t>
      </w:r>
      <w:r>
        <w:rPr>
          <w:rFonts w:ascii="Times New Roman" w:hAnsi="仿宋" w:eastAsia="仿宋" w:cs="Times New Roman"/>
          <w:color w:val="000000"/>
          <w:sz w:val="32"/>
          <w:szCs w:val="32"/>
        </w:rPr>
        <w:t>号）</w:t>
      </w:r>
      <w:r>
        <w:rPr>
          <w:rFonts w:ascii="Times New Roman" w:hAnsi="方正仿宋简体" w:eastAsia="方正仿宋简体" w:cs="Times New Roman"/>
          <w:sz w:val="32"/>
          <w:szCs w:val="32"/>
        </w:rPr>
        <w:t>中</w:t>
      </w:r>
      <w:r>
        <w:rPr>
          <w:rFonts w:ascii="Times New Roman" w:hAnsi="Times New Roman" w:eastAsia="方正仿宋简体" w:cs="Times New Roman"/>
          <w:sz w:val="32"/>
          <w:szCs w:val="32"/>
        </w:rPr>
        <w:t>“</w:t>
      </w:r>
      <w:r>
        <w:rPr>
          <w:rFonts w:ascii="Times New Roman" w:hAnsi="方正仿宋简体" w:eastAsia="方正仿宋简体" w:cs="Times New Roman"/>
          <w:sz w:val="32"/>
          <w:szCs w:val="32"/>
        </w:rPr>
        <w:t>省市县要按照所辖地区妇女的总人数，以每人每年不少于</w:t>
      </w:r>
      <w:r>
        <w:rPr>
          <w:rFonts w:ascii="Times New Roman" w:hAnsi="Times New Roman" w:eastAsia="方正仿宋简体" w:cs="Times New Roman"/>
          <w:sz w:val="32"/>
          <w:szCs w:val="32"/>
        </w:rPr>
        <w:t>1</w:t>
      </w:r>
      <w:r>
        <w:rPr>
          <w:rFonts w:ascii="Times New Roman" w:hAnsi="方正仿宋简体" w:eastAsia="方正仿宋简体" w:cs="Times New Roman"/>
          <w:sz w:val="32"/>
          <w:szCs w:val="32"/>
        </w:rPr>
        <w:t>元的标准分别划拨青少年、妇女事业发展专项经费，纳入同级财政预算，并随经济社会发展相应增加</w:t>
      </w:r>
      <w:r>
        <w:rPr>
          <w:rFonts w:ascii="Times New Roman" w:hAnsi="Times New Roman" w:eastAsia="方正仿宋简体" w:cs="Times New Roman"/>
          <w:sz w:val="32"/>
          <w:szCs w:val="32"/>
        </w:rPr>
        <w:t>”</w:t>
      </w:r>
      <w:r>
        <w:rPr>
          <w:rFonts w:ascii="Times New Roman" w:hAnsi="方正仿宋简体" w:eastAsia="方正仿宋简体" w:cs="Times New Roman"/>
          <w:sz w:val="32"/>
          <w:szCs w:val="32"/>
        </w:rPr>
        <w:t>的精神，</w:t>
      </w:r>
      <w:r>
        <w:rPr>
          <w:rFonts w:ascii="Times New Roman" w:hAnsi="仿宋" w:eastAsia="仿宋" w:cs="Times New Roman"/>
          <w:sz w:val="32"/>
          <w:szCs w:val="32"/>
        </w:rPr>
        <w:t>益阳市青少年事业发展专项经费根据</w:t>
      </w:r>
      <w:r>
        <w:rPr>
          <w:rFonts w:ascii="Times New Roman" w:hAnsi="方正仿宋简体" w:eastAsia="方正仿宋简体" w:cs="Times New Roman"/>
          <w:sz w:val="32"/>
          <w:szCs w:val="32"/>
        </w:rPr>
        <w:t>人口数</w:t>
      </w:r>
      <w:r>
        <w:rPr>
          <w:rFonts w:ascii="Times New Roman" w:hAnsi="Times New Roman" w:eastAsia="方正仿宋简体" w:cs="Times New Roman"/>
          <w:sz w:val="32"/>
          <w:szCs w:val="32"/>
        </w:rPr>
        <w:t>65.53</w:t>
      </w:r>
      <w:r>
        <w:rPr>
          <w:rFonts w:ascii="Times New Roman" w:hAnsi="方正仿宋简体" w:eastAsia="方正仿宋简体" w:cs="Times New Roman"/>
          <w:sz w:val="32"/>
          <w:szCs w:val="32"/>
        </w:rPr>
        <w:t>万，</w:t>
      </w:r>
      <w:r>
        <w:rPr>
          <w:rFonts w:ascii="Times New Roman" w:hAnsi="Times New Roman" w:eastAsia="方正仿宋简体" w:cs="Times New Roman"/>
          <w:sz w:val="32"/>
          <w:szCs w:val="32"/>
        </w:rPr>
        <w:t>2022</w:t>
      </w:r>
      <w:r>
        <w:rPr>
          <w:rFonts w:ascii="Times New Roman" w:hAnsi="方正仿宋简体" w:eastAsia="方正仿宋简体" w:cs="Times New Roman"/>
          <w:sz w:val="32"/>
          <w:szCs w:val="32"/>
        </w:rPr>
        <w:t>年度财政安排专项经费</w:t>
      </w:r>
      <w:r>
        <w:rPr>
          <w:rFonts w:ascii="Times New Roman" w:hAnsi="Times New Roman" w:eastAsia="方正仿宋简体" w:cs="Times New Roman"/>
          <w:sz w:val="32"/>
          <w:szCs w:val="32"/>
        </w:rPr>
        <w:t>88.85</w:t>
      </w:r>
      <w:r>
        <w:rPr>
          <w:rFonts w:ascii="Times New Roman" w:hAnsi="方正仿宋简体" w:eastAsia="方正仿宋简体" w:cs="Times New Roman"/>
          <w:sz w:val="32"/>
          <w:szCs w:val="32"/>
        </w:rPr>
        <w:t>万元，并纳入全市重点项目。</w:t>
      </w:r>
    </w:p>
    <w:p>
      <w:pPr>
        <w:spacing w:line="600"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二、绩效自评工作开展情况</w:t>
      </w:r>
    </w:p>
    <w:p>
      <w:pPr>
        <w:spacing w:line="600" w:lineRule="exact"/>
        <w:ind w:firstLine="640" w:firstLineChars="200"/>
        <w:rPr>
          <w:rFonts w:ascii="Times New Roman" w:hAnsi="Times New Roman" w:eastAsia="方正仿宋简体" w:cs="Times New Roman"/>
          <w:sz w:val="32"/>
          <w:szCs w:val="32"/>
        </w:rPr>
      </w:pPr>
      <w:r>
        <w:rPr>
          <w:rFonts w:ascii="Times New Roman" w:hAnsi="方正仿宋简体" w:eastAsia="方正仿宋简体" w:cs="Times New Roman"/>
          <w:sz w:val="32"/>
          <w:szCs w:val="32"/>
        </w:rPr>
        <w:t>根据要求，团市委制定了项目绩效评价的工作方案，成立了绩效评价工作小组。绩效评价工作小组负责具体组织实施。</w:t>
      </w:r>
      <w:r>
        <w:rPr>
          <w:rFonts w:ascii="Times New Roman" w:hAnsi="楷体" w:eastAsia="楷体" w:cs="Times New Roman"/>
          <w:sz w:val="32"/>
          <w:szCs w:val="32"/>
        </w:rPr>
        <w:t>一是核实数据。</w:t>
      </w:r>
      <w:r>
        <w:rPr>
          <w:rFonts w:ascii="Times New Roman" w:hAnsi="方正仿宋简体" w:eastAsia="方正仿宋简体" w:cs="Times New Roman"/>
          <w:sz w:val="32"/>
          <w:szCs w:val="32"/>
        </w:rPr>
        <w:t>对</w:t>
      </w:r>
      <w:r>
        <w:rPr>
          <w:rFonts w:ascii="Times New Roman" w:hAnsi="Times New Roman" w:eastAsia="方正仿宋简体" w:cs="Times New Roman"/>
          <w:sz w:val="32"/>
          <w:szCs w:val="32"/>
        </w:rPr>
        <w:t>2022</w:t>
      </w:r>
      <w:r>
        <w:rPr>
          <w:rFonts w:ascii="Times New Roman" w:hAnsi="方正仿宋简体" w:eastAsia="方正仿宋简体" w:cs="Times New Roman"/>
          <w:sz w:val="32"/>
          <w:szCs w:val="32"/>
        </w:rPr>
        <w:t>年</w:t>
      </w:r>
      <w:r>
        <w:rPr>
          <w:rFonts w:ascii="Times New Roman" w:hAnsi="仿宋" w:eastAsia="仿宋" w:cs="Times New Roman"/>
          <w:sz w:val="32"/>
          <w:szCs w:val="32"/>
        </w:rPr>
        <w:t>益阳市青少年事业发展专项经费</w:t>
      </w:r>
      <w:r>
        <w:rPr>
          <w:rFonts w:ascii="Times New Roman" w:hAnsi="方正仿宋简体" w:eastAsia="方正仿宋简体" w:cs="Times New Roman"/>
          <w:sz w:val="32"/>
          <w:szCs w:val="32"/>
        </w:rPr>
        <w:t>数据的准确性、真实性进行核实。</w:t>
      </w:r>
      <w:r>
        <w:rPr>
          <w:rFonts w:ascii="Times New Roman" w:hAnsi="楷体" w:eastAsia="楷体" w:cs="Times New Roman"/>
          <w:sz w:val="32"/>
          <w:szCs w:val="32"/>
        </w:rPr>
        <w:t>二是查阅资料。</w:t>
      </w:r>
      <w:r>
        <w:rPr>
          <w:rFonts w:ascii="Times New Roman" w:hAnsi="方正仿宋简体" w:eastAsia="方正仿宋简体" w:cs="Times New Roman"/>
          <w:sz w:val="32"/>
          <w:szCs w:val="32"/>
        </w:rPr>
        <w:t>查阅了</w:t>
      </w:r>
      <w:r>
        <w:rPr>
          <w:rFonts w:ascii="Times New Roman" w:hAnsi="Times New Roman" w:eastAsia="方正仿宋简体" w:cs="Times New Roman"/>
          <w:sz w:val="32"/>
          <w:szCs w:val="32"/>
        </w:rPr>
        <w:t>2022</w:t>
      </w:r>
      <w:r>
        <w:rPr>
          <w:rFonts w:ascii="Times New Roman" w:hAnsi="方正仿宋简体" w:eastAsia="方正仿宋简体" w:cs="Times New Roman"/>
          <w:sz w:val="32"/>
          <w:szCs w:val="32"/>
        </w:rPr>
        <w:t>年度项目预算安排及支出等财务凭证。</w:t>
      </w:r>
      <w:r>
        <w:rPr>
          <w:rFonts w:ascii="Times New Roman" w:hAnsi="楷体" w:eastAsia="楷体" w:cs="Times New Roman"/>
          <w:sz w:val="32"/>
          <w:szCs w:val="32"/>
        </w:rPr>
        <w:t>三是归纳汇总。</w:t>
      </w:r>
      <w:r>
        <w:rPr>
          <w:rFonts w:ascii="Times New Roman" w:hAnsi="方正仿宋简体" w:eastAsia="方正仿宋简体" w:cs="Times New Roman"/>
          <w:sz w:val="32"/>
          <w:szCs w:val="32"/>
        </w:rPr>
        <w:t>对提供的材料及自评报告，进行综合分析，归纳汇总。在前期工作的基础上进行分析评价，形成绩效评价报告。</w:t>
      </w:r>
    </w:p>
    <w:p>
      <w:pPr>
        <w:spacing w:line="600"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三、综合评价结论</w:t>
      </w:r>
    </w:p>
    <w:p>
      <w:pPr>
        <w:spacing w:line="600" w:lineRule="exact"/>
        <w:ind w:firstLine="640" w:firstLineChars="200"/>
        <w:rPr>
          <w:rFonts w:ascii="Times New Roman" w:hAnsi="Times New Roman" w:eastAsia="方正仿宋简体" w:cs="Times New Roman"/>
          <w:sz w:val="32"/>
          <w:szCs w:val="32"/>
        </w:rPr>
      </w:pPr>
      <w:r>
        <w:rPr>
          <w:rFonts w:ascii="Times New Roman" w:hAnsi="方正仿宋简体" w:eastAsia="方正仿宋简体" w:cs="Times New Roman"/>
          <w:sz w:val="32"/>
          <w:szCs w:val="32"/>
        </w:rPr>
        <w:t>根据《益阳市财政局关于开展</w:t>
      </w:r>
      <w:r>
        <w:rPr>
          <w:rFonts w:ascii="Times New Roman" w:hAnsi="Times New Roman" w:eastAsia="方正仿宋简体" w:cs="Times New Roman"/>
          <w:sz w:val="32"/>
          <w:szCs w:val="32"/>
        </w:rPr>
        <w:t>2022</w:t>
      </w:r>
      <w:r>
        <w:rPr>
          <w:rFonts w:ascii="Times New Roman" w:hAnsi="方正仿宋简体" w:eastAsia="方正仿宋简体" w:cs="Times New Roman"/>
          <w:sz w:val="32"/>
          <w:szCs w:val="32"/>
        </w:rPr>
        <w:t>年度预算绩效自评工作的通知》文件要求，团市委认真开展绩效自评，根据绩效评价指标体系评分自评得分情况，综合评价为</w:t>
      </w:r>
      <w:r>
        <w:rPr>
          <w:rFonts w:ascii="Times New Roman" w:hAnsi="Times New Roman" w:eastAsia="方正仿宋简体" w:cs="Times New Roman"/>
          <w:sz w:val="32"/>
          <w:szCs w:val="32"/>
        </w:rPr>
        <w:t>“</w:t>
      </w:r>
      <w:r>
        <w:rPr>
          <w:rFonts w:ascii="Times New Roman" w:hAnsi="方正仿宋简体" w:eastAsia="方正仿宋简体" w:cs="Times New Roman"/>
          <w:sz w:val="32"/>
          <w:szCs w:val="32"/>
        </w:rPr>
        <w:t>优秀</w:t>
      </w:r>
      <w:r>
        <w:rPr>
          <w:rFonts w:ascii="Times New Roman" w:hAnsi="Times New Roman" w:eastAsia="方正仿宋简体" w:cs="Times New Roman"/>
          <w:sz w:val="32"/>
          <w:szCs w:val="32"/>
        </w:rPr>
        <w:t>”</w:t>
      </w:r>
      <w:r>
        <w:rPr>
          <w:rFonts w:ascii="Times New Roman" w:hAnsi="方正仿宋简体" w:eastAsia="方正仿宋简体" w:cs="Times New Roman"/>
          <w:sz w:val="32"/>
          <w:szCs w:val="32"/>
        </w:rPr>
        <w:t>。</w:t>
      </w:r>
    </w:p>
    <w:p>
      <w:pPr>
        <w:spacing w:line="600"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四、绩效目标实现情况分析</w:t>
      </w:r>
    </w:p>
    <w:p>
      <w:pPr>
        <w:spacing w:line="60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（一）项目资金使用及管理情况</w:t>
      </w:r>
    </w:p>
    <w:p>
      <w:pPr>
        <w:spacing w:line="600" w:lineRule="exact"/>
        <w:ind w:firstLine="640" w:firstLineChars="200"/>
        <w:rPr>
          <w:rFonts w:ascii="Times New Roman" w:hAnsi="Times New Roman" w:eastAsia="方正仿宋简体" w:cs="Times New Roman"/>
          <w:sz w:val="32"/>
          <w:szCs w:val="32"/>
        </w:rPr>
      </w:pPr>
      <w:r>
        <w:rPr>
          <w:rFonts w:ascii="Times New Roman" w:hAnsi="仿宋" w:eastAsia="仿宋" w:cs="Times New Roman"/>
          <w:sz w:val="32"/>
          <w:szCs w:val="32"/>
        </w:rPr>
        <w:t>益阳市青少年事业发展专项</w:t>
      </w:r>
      <w:r>
        <w:rPr>
          <w:rFonts w:ascii="Times New Roman" w:hAnsi="方正仿宋简体" w:eastAsia="方正仿宋简体" w:cs="Times New Roman"/>
          <w:sz w:val="32"/>
          <w:szCs w:val="32"/>
        </w:rPr>
        <w:t>全年预算数为</w:t>
      </w:r>
      <w:r>
        <w:rPr>
          <w:rFonts w:ascii="Times New Roman" w:hAnsi="Times New Roman" w:eastAsia="方正仿宋简体" w:cs="Times New Roman"/>
          <w:sz w:val="32"/>
          <w:szCs w:val="32"/>
        </w:rPr>
        <w:t> 88.85</w:t>
      </w:r>
      <w:r>
        <w:rPr>
          <w:rFonts w:ascii="Times New Roman" w:hAnsi="方正仿宋简体" w:eastAsia="方正仿宋简体" w:cs="Times New Roman"/>
          <w:sz w:val="32"/>
          <w:szCs w:val="32"/>
        </w:rPr>
        <w:t>万元，执行数为</w:t>
      </w:r>
      <w:r>
        <w:rPr>
          <w:rFonts w:ascii="Times New Roman" w:hAnsi="Times New Roman" w:eastAsia="方正仿宋简体" w:cs="Times New Roman"/>
          <w:sz w:val="32"/>
          <w:szCs w:val="32"/>
        </w:rPr>
        <w:t>88.85</w:t>
      </w:r>
      <w:r>
        <w:rPr>
          <w:rFonts w:ascii="Times New Roman" w:hAnsi="方正仿宋简体" w:eastAsia="方正仿宋简体" w:cs="Times New Roman"/>
          <w:sz w:val="32"/>
          <w:szCs w:val="32"/>
        </w:rPr>
        <w:t>万元，完成预算的</w:t>
      </w:r>
      <w:r>
        <w:rPr>
          <w:rFonts w:ascii="Times New Roman" w:hAnsi="Times New Roman" w:eastAsia="方正仿宋简体" w:cs="Times New Roman"/>
          <w:sz w:val="32"/>
          <w:szCs w:val="32"/>
        </w:rPr>
        <w:t>100%</w:t>
      </w:r>
      <w:r>
        <w:rPr>
          <w:rFonts w:ascii="Times New Roman" w:hAnsi="方正仿宋简体" w:eastAsia="方正仿宋简体" w:cs="Times New Roman"/>
          <w:sz w:val="32"/>
          <w:szCs w:val="32"/>
        </w:rPr>
        <w:t>。制定了</w:t>
      </w:r>
      <w:r>
        <w:rPr>
          <w:rFonts w:ascii="Times New Roman" w:hAnsi="Times New Roman" w:eastAsia="方正仿宋简体" w:cs="Times New Roman"/>
          <w:sz w:val="32"/>
          <w:szCs w:val="32"/>
        </w:rPr>
        <w:t>“</w:t>
      </w:r>
      <w:r>
        <w:rPr>
          <w:rFonts w:ascii="Times New Roman" w:hAnsi="方正仿宋简体" w:eastAsia="方正仿宋简体" w:cs="Times New Roman"/>
          <w:sz w:val="32"/>
          <w:szCs w:val="32"/>
        </w:rPr>
        <w:t>青少年事业发展专项</w:t>
      </w:r>
      <w:r>
        <w:rPr>
          <w:rFonts w:ascii="Times New Roman" w:hAnsi="Times New Roman" w:eastAsia="方正仿宋简体" w:cs="Times New Roman"/>
          <w:sz w:val="32"/>
          <w:szCs w:val="32"/>
        </w:rPr>
        <w:t>”</w:t>
      </w:r>
      <w:r>
        <w:rPr>
          <w:rFonts w:ascii="Times New Roman" w:hAnsi="方正仿宋简体" w:eastAsia="方正仿宋简体" w:cs="Times New Roman"/>
          <w:sz w:val="32"/>
          <w:szCs w:val="32"/>
        </w:rPr>
        <w:t>管理使用办法，科学合理安排使用项目资金。对项目资金做出具体项目计划、预算安排，并按季度执行；修订专项经费使用制度，明确专款专用</w:t>
      </w:r>
      <w:r>
        <w:rPr>
          <w:rFonts w:ascii="Times New Roman" w:hAnsi="Times New Roman" w:eastAsia="方正仿宋简体" w:cs="Times New Roman"/>
          <w:sz w:val="32"/>
          <w:szCs w:val="32"/>
        </w:rPr>
        <w:t>;</w:t>
      </w:r>
      <w:r>
        <w:rPr>
          <w:rFonts w:ascii="Times New Roman" w:hAnsi="方正仿宋简体" w:eastAsia="方正仿宋简体" w:cs="Times New Roman"/>
          <w:sz w:val="32"/>
          <w:szCs w:val="32"/>
        </w:rPr>
        <w:t>在使用上支持重点项目、重点工作，并根据项目的实际业务量，确定不同档次的业务活动经费。</w:t>
      </w:r>
    </w:p>
    <w:p>
      <w:pPr>
        <w:spacing w:line="60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（二）总体绩效目标完成情况分析</w:t>
      </w:r>
    </w:p>
    <w:p>
      <w:pPr>
        <w:widowControl/>
        <w:shd w:val="clear" w:color="auto" w:fill="FFFFFF"/>
        <w:spacing w:line="600" w:lineRule="exact"/>
        <w:ind w:firstLine="640" w:firstLineChars="200"/>
        <w:rPr>
          <w:rFonts w:ascii="Times New Roman" w:hAnsi="Times New Roman" w:eastAsia="方正仿宋简体" w:cs="Times New Roman"/>
          <w:sz w:val="32"/>
          <w:szCs w:val="32"/>
        </w:rPr>
      </w:pPr>
      <w:r>
        <w:rPr>
          <w:rFonts w:ascii="Times New Roman" w:hAnsi="方正仿宋简体" w:eastAsia="方正仿宋简体" w:cs="Times New Roman"/>
          <w:sz w:val="32"/>
          <w:szCs w:val="32"/>
        </w:rPr>
        <w:t>团市委深入贯彻落实市委市政府部署和团省委要求，制定青少年事业发展专项预算绩效目标，服务青少年，服务基层，服务发展，围绕重点工作，突出品牌打造，完满完成各项任务。全面贯彻落实习近平总书记关于青年工作的重要思想，深刻认识和把握党的二十大胜利召开和中国共产主义青年团成立</w:t>
      </w:r>
      <w:r>
        <w:rPr>
          <w:rFonts w:ascii="Times New Roman" w:hAnsi="Times New Roman" w:eastAsia="方正仿宋简体" w:cs="Times New Roman"/>
          <w:sz w:val="32"/>
          <w:szCs w:val="32"/>
        </w:rPr>
        <w:t>100</w:t>
      </w:r>
      <w:r>
        <w:rPr>
          <w:rFonts w:ascii="Times New Roman" w:hAnsi="方正仿宋简体" w:eastAsia="方正仿宋简体" w:cs="Times New Roman"/>
          <w:sz w:val="32"/>
          <w:szCs w:val="32"/>
        </w:rPr>
        <w:t>周年的重大意义，将省、市贯彻意见落到实处；组织广大青少年打卡</w:t>
      </w:r>
      <w:r>
        <w:rPr>
          <w:rFonts w:ascii="Times New Roman" w:hAnsi="Times New Roman" w:eastAsia="方正仿宋简体" w:cs="Times New Roman"/>
          <w:sz w:val="32"/>
          <w:szCs w:val="32"/>
        </w:rPr>
        <w:t>“</w:t>
      </w:r>
      <w:r>
        <w:rPr>
          <w:rFonts w:ascii="Times New Roman" w:hAnsi="方正仿宋简体" w:eastAsia="方正仿宋简体" w:cs="Times New Roman"/>
          <w:sz w:val="32"/>
          <w:szCs w:val="32"/>
        </w:rPr>
        <w:t>益阳红</w:t>
      </w:r>
      <w:r>
        <w:rPr>
          <w:rFonts w:ascii="Times New Roman" w:hAnsi="Times New Roman" w:eastAsia="方正仿宋简体" w:cs="Times New Roman"/>
          <w:sz w:val="32"/>
          <w:szCs w:val="32"/>
        </w:rPr>
        <w:t>”</w:t>
      </w:r>
      <w:r>
        <w:rPr>
          <w:rFonts w:ascii="Times New Roman" w:hAnsi="方正仿宋简体" w:eastAsia="方正仿宋简体" w:cs="Times New Roman"/>
          <w:sz w:val="32"/>
          <w:szCs w:val="32"/>
        </w:rPr>
        <w:t>，组织开展</w:t>
      </w:r>
      <w:r>
        <w:rPr>
          <w:rFonts w:ascii="Times New Roman" w:hAnsi="Times New Roman" w:eastAsia="方正仿宋简体" w:cs="Times New Roman"/>
          <w:sz w:val="32"/>
          <w:szCs w:val="32"/>
        </w:rPr>
        <w:t>“</w:t>
      </w:r>
      <w:r>
        <w:rPr>
          <w:rFonts w:ascii="Times New Roman" w:hAnsi="方正仿宋简体" w:eastAsia="方正仿宋简体" w:cs="Times New Roman"/>
          <w:sz w:val="32"/>
          <w:szCs w:val="32"/>
        </w:rPr>
        <w:t>智慧潇湘，鸿雁之约</w:t>
      </w:r>
      <w:r>
        <w:rPr>
          <w:rFonts w:ascii="Times New Roman" w:hAnsi="Times New Roman" w:eastAsia="方正仿宋简体" w:cs="Times New Roman"/>
          <w:sz w:val="32"/>
          <w:szCs w:val="32"/>
        </w:rPr>
        <w:t>”</w:t>
      </w:r>
      <w:r>
        <w:rPr>
          <w:rFonts w:ascii="Times New Roman" w:hAnsi="方正仿宋简体" w:eastAsia="方正仿宋简体" w:cs="Times New Roman"/>
          <w:sz w:val="32"/>
          <w:szCs w:val="32"/>
        </w:rPr>
        <w:t>益阳青年行主题实践活动，开展红色教育，培育红色基因；开展益阳市五四青年奖章、</w:t>
      </w:r>
      <w:r>
        <w:rPr>
          <w:rFonts w:ascii="Times New Roman" w:hAnsi="Times New Roman" w:eastAsia="方正仿宋简体" w:cs="Times New Roman"/>
          <w:sz w:val="32"/>
          <w:szCs w:val="32"/>
        </w:rPr>
        <w:t>“</w:t>
      </w:r>
      <w:r>
        <w:rPr>
          <w:rFonts w:ascii="Times New Roman" w:hAnsi="方正仿宋简体" w:eastAsia="方正仿宋简体" w:cs="Times New Roman"/>
          <w:sz w:val="32"/>
          <w:szCs w:val="32"/>
        </w:rPr>
        <w:t>双红双优</w:t>
      </w:r>
      <w:r>
        <w:rPr>
          <w:rFonts w:ascii="Times New Roman" w:hAnsi="Times New Roman" w:eastAsia="方正仿宋简体" w:cs="Times New Roman"/>
          <w:sz w:val="32"/>
          <w:szCs w:val="32"/>
        </w:rPr>
        <w:t>”</w:t>
      </w:r>
      <w:r>
        <w:rPr>
          <w:rFonts w:ascii="Times New Roman" w:hAnsi="方正仿宋简体" w:eastAsia="方正仿宋简体" w:cs="Times New Roman"/>
          <w:sz w:val="32"/>
          <w:szCs w:val="32"/>
        </w:rPr>
        <w:t>、</w:t>
      </w:r>
      <w:r>
        <w:rPr>
          <w:rFonts w:ascii="Times New Roman" w:hAnsi="Times New Roman" w:eastAsia="方正仿宋简体" w:cs="Times New Roman"/>
          <w:sz w:val="32"/>
          <w:szCs w:val="32"/>
        </w:rPr>
        <w:t>“</w:t>
      </w:r>
      <w:r>
        <w:rPr>
          <w:rFonts w:ascii="Times New Roman" w:hAnsi="方正仿宋简体" w:eastAsia="方正仿宋简体" w:cs="Times New Roman"/>
          <w:sz w:val="32"/>
          <w:szCs w:val="32"/>
        </w:rPr>
        <w:t>银城青年英才</w:t>
      </w:r>
      <w:r>
        <w:rPr>
          <w:rFonts w:ascii="Times New Roman" w:hAnsi="Times New Roman" w:eastAsia="方正仿宋简体" w:cs="Times New Roman"/>
          <w:sz w:val="32"/>
          <w:szCs w:val="32"/>
        </w:rPr>
        <w:t>”</w:t>
      </w:r>
      <w:r>
        <w:rPr>
          <w:rFonts w:ascii="Times New Roman" w:hAnsi="方正仿宋简体" w:eastAsia="方正仿宋简体" w:cs="Times New Roman"/>
          <w:sz w:val="32"/>
          <w:szCs w:val="32"/>
        </w:rPr>
        <w:t>等评选推荐工作；</w:t>
      </w:r>
      <w:r>
        <w:rPr>
          <w:rFonts w:ascii="Times New Roman" w:hAnsi="仿宋" w:eastAsia="仿宋" w:cs="Times New Roman"/>
          <w:sz w:val="32"/>
          <w:szCs w:val="32"/>
        </w:rPr>
        <w:t>坚持党建带团建，加强对两新青年群体的组织和工作覆盖</w:t>
      </w:r>
      <w:r>
        <w:rPr>
          <w:rFonts w:ascii="Times New Roman" w:hAnsi="仿宋" w:eastAsia="仿宋" w:cs="Times New Roman"/>
          <w:color w:val="333333"/>
          <w:kern w:val="0"/>
          <w:sz w:val="32"/>
          <w:szCs w:val="32"/>
          <w:shd w:val="clear" w:color="auto" w:fill="FFFFFF"/>
        </w:rPr>
        <w:t>；</w:t>
      </w:r>
      <w:r>
        <w:rPr>
          <w:rFonts w:ascii="Times New Roman" w:hAnsi="仿宋" w:eastAsia="仿宋" w:cs="Times New Roman"/>
          <w:sz w:val="32"/>
          <w:szCs w:val="32"/>
        </w:rPr>
        <w:t>深化社区</w:t>
      </w:r>
      <w:r>
        <w:rPr>
          <w:rFonts w:ascii="Times New Roman" w:hAnsi="Times New Roman" w:eastAsia="仿宋" w:cs="Times New Roman"/>
          <w:sz w:val="32"/>
          <w:szCs w:val="32"/>
        </w:rPr>
        <w:t>“</w:t>
      </w:r>
      <w:r>
        <w:rPr>
          <w:rFonts w:ascii="Times New Roman" w:hAnsi="仿宋" w:eastAsia="仿宋" w:cs="Times New Roman"/>
          <w:sz w:val="32"/>
          <w:szCs w:val="32"/>
        </w:rPr>
        <w:t>青年之家</w:t>
      </w:r>
      <w:r>
        <w:rPr>
          <w:rFonts w:ascii="Times New Roman" w:hAnsi="Times New Roman" w:eastAsia="仿宋" w:cs="Times New Roman"/>
          <w:sz w:val="32"/>
          <w:szCs w:val="32"/>
        </w:rPr>
        <w:t>”</w:t>
      </w:r>
      <w:r>
        <w:rPr>
          <w:rFonts w:ascii="Times New Roman" w:hAnsi="仿宋" w:eastAsia="仿宋" w:cs="Times New Roman"/>
          <w:sz w:val="32"/>
          <w:szCs w:val="32"/>
        </w:rPr>
        <w:t>建设，夯实组织基础。</w:t>
      </w:r>
      <w:r>
        <w:rPr>
          <w:rFonts w:ascii="Times New Roman" w:hAnsi="仿宋" w:eastAsia="仿宋" w:cs="Times New Roman"/>
          <w:color w:val="333333"/>
          <w:kern w:val="0"/>
          <w:sz w:val="32"/>
          <w:szCs w:val="32"/>
          <w:shd w:val="clear" w:color="auto" w:fill="FFFFFF"/>
        </w:rPr>
        <w:t>各项按照预算绩效目标实施，工作取得较好成绩。</w:t>
      </w:r>
    </w:p>
    <w:p>
      <w:pPr>
        <w:spacing w:line="60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（三）绩效指标完成情况分析</w:t>
      </w:r>
    </w:p>
    <w:p>
      <w:pPr>
        <w:pStyle w:val="6"/>
        <w:widowControl/>
        <w:shd w:val="clear" w:color="auto" w:fill="FFFFFF"/>
        <w:spacing w:line="600" w:lineRule="exact"/>
        <w:ind w:firstLine="643" w:firstLineChars="200"/>
        <w:jc w:val="both"/>
        <w:rPr>
          <w:rFonts w:hint="default" w:ascii="Times New Roman" w:hAnsi="Times New Roman" w:eastAsia="仿宋"/>
          <w:sz w:val="32"/>
          <w:szCs w:val="32"/>
        </w:rPr>
      </w:pPr>
      <w:r>
        <w:rPr>
          <w:rFonts w:hint="default" w:ascii="Times New Roman" w:hAnsi="Times New Roman" w:eastAsia="仿宋"/>
          <w:b/>
          <w:bCs/>
          <w:sz w:val="32"/>
          <w:szCs w:val="32"/>
        </w:rPr>
        <w:t>1.</w:t>
      </w:r>
      <w:r>
        <w:rPr>
          <w:rFonts w:hint="default" w:ascii="Times New Roman" w:hAnsi="仿宋" w:eastAsia="仿宋"/>
          <w:b/>
          <w:bCs/>
          <w:sz w:val="32"/>
          <w:szCs w:val="32"/>
        </w:rPr>
        <w:t>强化理论武装。</w:t>
      </w:r>
      <w:r>
        <w:rPr>
          <w:rFonts w:hint="default" w:ascii="Times New Roman" w:hAnsi="仿宋" w:eastAsia="仿宋"/>
          <w:sz w:val="32"/>
          <w:szCs w:val="32"/>
        </w:rPr>
        <w:t>深入学习宣传贯彻党的二十大精神和庆祝中国共产主义青年团成立</w:t>
      </w:r>
      <w:r>
        <w:rPr>
          <w:rFonts w:hint="default" w:ascii="Times New Roman" w:hAnsi="Times New Roman" w:eastAsia="仿宋"/>
          <w:sz w:val="32"/>
          <w:szCs w:val="32"/>
        </w:rPr>
        <w:t>100</w:t>
      </w:r>
      <w:r>
        <w:rPr>
          <w:rFonts w:hint="default" w:ascii="Times New Roman" w:hAnsi="仿宋" w:eastAsia="仿宋"/>
          <w:sz w:val="32"/>
          <w:szCs w:val="32"/>
        </w:rPr>
        <w:t>周年大会精神。</w:t>
      </w:r>
      <w:r>
        <w:rPr>
          <w:rFonts w:hint="default" w:ascii="Times New Roman" w:hAnsi="Times New Roman" w:eastAsia="仿宋"/>
          <w:sz w:val="32"/>
          <w:szCs w:val="32"/>
        </w:rPr>
        <w:t>5</w:t>
      </w:r>
      <w:r>
        <w:rPr>
          <w:rFonts w:hint="default" w:ascii="Times New Roman" w:hAnsi="仿宋" w:eastAsia="仿宋"/>
          <w:sz w:val="32"/>
          <w:szCs w:val="32"/>
        </w:rPr>
        <w:t>月</w:t>
      </w:r>
      <w:r>
        <w:rPr>
          <w:rFonts w:hint="default" w:ascii="Times New Roman" w:hAnsi="Times New Roman" w:eastAsia="仿宋"/>
          <w:sz w:val="32"/>
          <w:szCs w:val="32"/>
        </w:rPr>
        <w:t>12</w:t>
      </w:r>
      <w:r>
        <w:rPr>
          <w:rFonts w:hint="default" w:ascii="Times New Roman" w:hAnsi="仿宋" w:eastAsia="仿宋"/>
          <w:sz w:val="32"/>
          <w:szCs w:val="32"/>
        </w:rPr>
        <w:t>日，召开益阳市庆祝中国共产主义青年团成立</w:t>
      </w:r>
      <w:r>
        <w:rPr>
          <w:rFonts w:hint="default" w:ascii="Times New Roman" w:hAnsi="Times New Roman" w:eastAsia="仿宋"/>
          <w:sz w:val="32"/>
          <w:szCs w:val="32"/>
        </w:rPr>
        <w:t>100</w:t>
      </w:r>
      <w:r>
        <w:rPr>
          <w:rFonts w:hint="default" w:ascii="Times New Roman" w:hAnsi="仿宋" w:eastAsia="仿宋"/>
          <w:sz w:val="32"/>
          <w:szCs w:val="32"/>
        </w:rPr>
        <w:t>周年座谈会，市委书记瞿海出席并讲话，市委副书记、市委统战部部长熊炜主持会议。全年推荐各层次青马工程对象</w:t>
      </w:r>
      <w:r>
        <w:rPr>
          <w:rFonts w:hint="default" w:ascii="Times New Roman" w:hAnsi="Times New Roman" w:eastAsia="仿宋"/>
          <w:sz w:val="32"/>
          <w:szCs w:val="32"/>
        </w:rPr>
        <w:t>22</w:t>
      </w:r>
      <w:r>
        <w:rPr>
          <w:rFonts w:hint="default" w:ascii="Times New Roman" w:hAnsi="仿宋" w:eastAsia="仿宋"/>
          <w:sz w:val="32"/>
          <w:szCs w:val="32"/>
        </w:rPr>
        <w:t>人，组建</w:t>
      </w:r>
      <w:r>
        <w:rPr>
          <w:rFonts w:hint="default" w:ascii="Times New Roman" w:hAnsi="Times New Roman" w:eastAsia="仿宋"/>
          <w:sz w:val="32"/>
          <w:szCs w:val="32"/>
        </w:rPr>
        <w:t xml:space="preserve">50 </w:t>
      </w:r>
      <w:r>
        <w:rPr>
          <w:rFonts w:hint="default" w:ascii="Times New Roman" w:hAnsi="仿宋" w:eastAsia="仿宋"/>
          <w:sz w:val="32"/>
          <w:szCs w:val="32"/>
        </w:rPr>
        <w:t>人左右规模的市级青年讲师团，</w:t>
      </w:r>
      <w:r>
        <w:rPr>
          <w:rFonts w:hint="default" w:ascii="Times New Roman" w:hAnsi="Times New Roman" w:eastAsia="仿宋"/>
          <w:sz w:val="32"/>
          <w:szCs w:val="32"/>
        </w:rPr>
        <w:t>75</w:t>
      </w:r>
      <w:r>
        <w:rPr>
          <w:rFonts w:hint="default" w:ascii="Times New Roman" w:hAnsi="仿宋" w:eastAsia="仿宋"/>
          <w:sz w:val="32"/>
          <w:szCs w:val="32"/>
        </w:rPr>
        <w:t>人的红领巾讲解员，开展专题报告、宣讲、读书班</w:t>
      </w:r>
      <w:r>
        <w:rPr>
          <w:rFonts w:hint="default" w:ascii="Times New Roman" w:hAnsi="Times New Roman" w:eastAsia="仿宋"/>
          <w:sz w:val="32"/>
          <w:szCs w:val="32"/>
        </w:rPr>
        <w:t>5600</w:t>
      </w:r>
      <w:r>
        <w:rPr>
          <w:rFonts w:hint="default" w:ascii="Times New Roman" w:hAnsi="仿宋" w:eastAsia="仿宋"/>
          <w:sz w:val="32"/>
          <w:szCs w:val="32"/>
        </w:rPr>
        <w:t>余场。</w:t>
      </w:r>
    </w:p>
    <w:p>
      <w:pPr>
        <w:pStyle w:val="6"/>
        <w:widowControl/>
        <w:shd w:val="clear" w:color="auto" w:fill="FFFFFF"/>
        <w:spacing w:line="600" w:lineRule="exact"/>
        <w:ind w:firstLine="643" w:firstLineChars="200"/>
        <w:jc w:val="both"/>
        <w:rPr>
          <w:rFonts w:hint="default" w:ascii="Times New Roman" w:hAnsi="Times New Roman" w:eastAsia="仿宋"/>
          <w:sz w:val="32"/>
          <w:szCs w:val="32"/>
        </w:rPr>
      </w:pPr>
      <w:r>
        <w:rPr>
          <w:rFonts w:hint="default" w:ascii="Times New Roman" w:hAnsi="Times New Roman" w:eastAsia="仿宋"/>
          <w:b/>
          <w:bCs/>
          <w:sz w:val="32"/>
          <w:szCs w:val="32"/>
        </w:rPr>
        <w:t>2.</w:t>
      </w:r>
      <w:r>
        <w:rPr>
          <w:rFonts w:hint="default" w:ascii="Times New Roman" w:hAnsi="仿宋" w:eastAsia="仿宋"/>
          <w:b/>
          <w:bCs/>
          <w:sz w:val="32"/>
          <w:szCs w:val="32"/>
        </w:rPr>
        <w:t>赓续红色血脉。</w:t>
      </w:r>
      <w:r>
        <w:rPr>
          <w:rFonts w:hint="default" w:ascii="Times New Roman" w:hAnsi="仿宋" w:eastAsia="仿宋"/>
          <w:sz w:val="32"/>
          <w:szCs w:val="32"/>
        </w:rPr>
        <w:t>组织广大青少年打卡</w:t>
      </w:r>
      <w:r>
        <w:rPr>
          <w:rFonts w:hint="default" w:ascii="Times New Roman" w:hAnsi="Times New Roman" w:eastAsia="仿宋"/>
          <w:sz w:val="32"/>
          <w:szCs w:val="32"/>
        </w:rPr>
        <w:t>“</w:t>
      </w:r>
      <w:r>
        <w:rPr>
          <w:rFonts w:hint="default" w:ascii="Times New Roman" w:hAnsi="仿宋" w:eastAsia="仿宋"/>
          <w:sz w:val="32"/>
          <w:szCs w:val="32"/>
        </w:rPr>
        <w:t>益阳红</w:t>
      </w:r>
      <w:r>
        <w:rPr>
          <w:rFonts w:hint="default" w:ascii="Times New Roman" w:hAnsi="Times New Roman" w:eastAsia="仿宋"/>
          <w:sz w:val="32"/>
          <w:szCs w:val="32"/>
        </w:rPr>
        <w:t>”</w:t>
      </w:r>
      <w:r>
        <w:rPr>
          <w:rFonts w:hint="default" w:ascii="Times New Roman" w:hAnsi="仿宋" w:eastAsia="仿宋"/>
          <w:sz w:val="32"/>
          <w:szCs w:val="32"/>
        </w:rPr>
        <w:t>，组织开展</w:t>
      </w:r>
      <w:r>
        <w:rPr>
          <w:rFonts w:hint="default" w:ascii="Times New Roman" w:hAnsi="Times New Roman" w:eastAsia="仿宋"/>
          <w:sz w:val="32"/>
          <w:szCs w:val="32"/>
        </w:rPr>
        <w:t>“</w:t>
      </w:r>
      <w:r>
        <w:rPr>
          <w:rFonts w:hint="default" w:ascii="Times New Roman" w:hAnsi="仿宋" w:eastAsia="仿宋"/>
          <w:sz w:val="32"/>
          <w:szCs w:val="32"/>
        </w:rPr>
        <w:t>智慧潇湘，鸿雁之约</w:t>
      </w:r>
      <w:r>
        <w:rPr>
          <w:rFonts w:hint="default" w:ascii="Times New Roman" w:hAnsi="Times New Roman" w:eastAsia="仿宋"/>
          <w:sz w:val="32"/>
          <w:szCs w:val="32"/>
        </w:rPr>
        <w:t>”</w:t>
      </w:r>
      <w:r>
        <w:rPr>
          <w:rFonts w:hint="default" w:ascii="Times New Roman" w:hAnsi="仿宋" w:eastAsia="仿宋"/>
          <w:sz w:val="32"/>
          <w:szCs w:val="32"/>
        </w:rPr>
        <w:t>益阳青年行主题实践活动，带领</w:t>
      </w:r>
      <w:r>
        <w:rPr>
          <w:rFonts w:hint="default" w:ascii="Times New Roman" w:hAnsi="Times New Roman" w:eastAsia="仿宋"/>
          <w:sz w:val="32"/>
          <w:szCs w:val="32"/>
        </w:rPr>
        <w:t>100</w:t>
      </w:r>
      <w:r>
        <w:rPr>
          <w:rFonts w:hint="default" w:ascii="Times New Roman" w:hAnsi="仿宋" w:eastAsia="仿宋"/>
          <w:sz w:val="32"/>
          <w:szCs w:val="32"/>
        </w:rPr>
        <w:t>余名返乡高校学子、优秀青年人才，重走青年毛泽东社会调查之路。益阳共青团清明祭英烈活动被央视《朝闻天下》、湖南卫视《新闻联播》报道。湖南新闻联播报道益阳团史陈列展。我市新增湖南省青少年教育基地</w:t>
      </w:r>
      <w:r>
        <w:rPr>
          <w:rFonts w:hint="default" w:ascii="Times New Roman" w:hAnsi="Times New Roman" w:eastAsia="仿宋"/>
          <w:sz w:val="32"/>
          <w:szCs w:val="32"/>
        </w:rPr>
        <w:t>4</w:t>
      </w:r>
      <w:r>
        <w:rPr>
          <w:rFonts w:hint="default" w:ascii="Times New Roman" w:hAnsi="仿宋" w:eastAsia="仿宋"/>
          <w:sz w:val="32"/>
          <w:szCs w:val="32"/>
        </w:rPr>
        <w:t>家。</w:t>
      </w:r>
    </w:p>
    <w:p>
      <w:pPr>
        <w:pStyle w:val="6"/>
        <w:widowControl/>
        <w:shd w:val="clear" w:color="auto" w:fill="FFFFFF"/>
        <w:spacing w:line="600" w:lineRule="exact"/>
        <w:ind w:firstLine="643" w:firstLineChars="200"/>
        <w:jc w:val="both"/>
        <w:rPr>
          <w:rFonts w:hint="default" w:ascii="Times New Roman" w:hAnsi="Times New Roman" w:eastAsia="仿宋"/>
          <w:sz w:val="32"/>
          <w:szCs w:val="32"/>
        </w:rPr>
      </w:pPr>
      <w:r>
        <w:rPr>
          <w:rFonts w:hint="default" w:ascii="Times New Roman" w:hAnsi="Times New Roman" w:eastAsia="仿宋"/>
          <w:b/>
          <w:bCs/>
          <w:sz w:val="32"/>
          <w:szCs w:val="32"/>
        </w:rPr>
        <w:t>3.</w:t>
      </w:r>
      <w:r>
        <w:rPr>
          <w:rFonts w:hint="default" w:ascii="Times New Roman" w:hAnsi="仿宋" w:eastAsia="仿宋"/>
          <w:b/>
          <w:bCs/>
          <w:sz w:val="32"/>
          <w:szCs w:val="32"/>
        </w:rPr>
        <w:t>助力中心工作。</w:t>
      </w:r>
      <w:r>
        <w:rPr>
          <w:rFonts w:hint="default" w:ascii="Times New Roman" w:hAnsi="Times New Roman" w:eastAsia="仿宋"/>
          <w:sz w:val="32"/>
          <w:szCs w:val="32"/>
        </w:rPr>
        <w:t>“</w:t>
      </w:r>
      <w:r>
        <w:rPr>
          <w:rFonts w:hint="default" w:ascii="Times New Roman" w:hAnsi="仿宋" w:eastAsia="仿宋"/>
          <w:sz w:val="32"/>
          <w:szCs w:val="32"/>
        </w:rPr>
        <w:t>农村青年致富带头人</w:t>
      </w:r>
      <w:r>
        <w:rPr>
          <w:rFonts w:hint="default" w:ascii="Times New Roman" w:hAnsi="Times New Roman" w:eastAsia="仿宋"/>
          <w:sz w:val="32"/>
          <w:szCs w:val="32"/>
        </w:rPr>
        <w:t>”</w:t>
      </w:r>
      <w:r>
        <w:rPr>
          <w:rFonts w:hint="default" w:ascii="Times New Roman" w:hAnsi="仿宋" w:eastAsia="仿宋"/>
          <w:sz w:val="32"/>
          <w:szCs w:val="32"/>
        </w:rPr>
        <w:t>培育工作纳入市委人才新政</w:t>
      </w:r>
      <w:r>
        <w:rPr>
          <w:rFonts w:hint="default" w:ascii="Times New Roman" w:hAnsi="Times New Roman" w:eastAsia="仿宋"/>
          <w:sz w:val="32"/>
          <w:szCs w:val="32"/>
        </w:rPr>
        <w:t>25</w:t>
      </w:r>
      <w:r>
        <w:rPr>
          <w:rFonts w:hint="default" w:ascii="Times New Roman" w:hAnsi="仿宋" w:eastAsia="仿宋"/>
          <w:sz w:val="32"/>
          <w:szCs w:val="32"/>
        </w:rPr>
        <w:t>条，全市成立农村青年致富带头人协会</w:t>
      </w:r>
      <w:r>
        <w:rPr>
          <w:rFonts w:hint="default" w:ascii="Times New Roman" w:hAnsi="Times New Roman" w:eastAsia="仿宋"/>
          <w:sz w:val="32"/>
          <w:szCs w:val="32"/>
        </w:rPr>
        <w:t>7</w:t>
      </w:r>
      <w:r>
        <w:rPr>
          <w:rFonts w:hint="default" w:ascii="Times New Roman" w:hAnsi="仿宋" w:eastAsia="仿宋"/>
          <w:sz w:val="32"/>
          <w:szCs w:val="32"/>
        </w:rPr>
        <w:t>家，实现区县全覆盖，带动群众增收</w:t>
      </w:r>
      <w:r>
        <w:rPr>
          <w:rFonts w:hint="default" w:ascii="Times New Roman" w:hAnsi="Times New Roman" w:eastAsia="仿宋"/>
          <w:sz w:val="32"/>
          <w:szCs w:val="32"/>
        </w:rPr>
        <w:t>4480</w:t>
      </w:r>
      <w:r>
        <w:rPr>
          <w:rFonts w:hint="default" w:ascii="Times New Roman" w:hAnsi="仿宋" w:eastAsia="仿宋"/>
          <w:sz w:val="32"/>
          <w:szCs w:val="32"/>
        </w:rPr>
        <w:t>万元。</w:t>
      </w:r>
      <w:r>
        <w:rPr>
          <w:rFonts w:hint="default" w:ascii="Times New Roman" w:hAnsi="Times New Roman" w:eastAsia="仿宋"/>
          <w:sz w:val="32"/>
          <w:szCs w:val="32"/>
        </w:rPr>
        <w:t>1</w:t>
      </w:r>
      <w:r>
        <w:rPr>
          <w:rFonts w:hint="default" w:ascii="Times New Roman" w:hAnsi="仿宋" w:eastAsia="仿宋"/>
          <w:sz w:val="32"/>
          <w:szCs w:val="32"/>
        </w:rPr>
        <w:t>人成功获评首届全国乡村振兴青年先锋，</w:t>
      </w:r>
      <w:r>
        <w:rPr>
          <w:rFonts w:hint="default" w:ascii="Times New Roman" w:hAnsi="Times New Roman" w:eastAsia="仿宋"/>
          <w:sz w:val="32"/>
          <w:szCs w:val="32"/>
        </w:rPr>
        <w:t>1</w:t>
      </w:r>
      <w:r>
        <w:rPr>
          <w:rFonts w:hint="default" w:ascii="Times New Roman" w:hAnsi="仿宋" w:eastAsia="仿宋"/>
          <w:sz w:val="32"/>
          <w:szCs w:val="32"/>
        </w:rPr>
        <w:t>人荣获省乡村振兴青年标兵，</w:t>
      </w:r>
      <w:r>
        <w:rPr>
          <w:rFonts w:hint="default" w:ascii="Times New Roman" w:hAnsi="Times New Roman" w:eastAsia="仿宋"/>
          <w:sz w:val="32"/>
          <w:szCs w:val="32"/>
        </w:rPr>
        <w:t>5</w:t>
      </w:r>
      <w:r>
        <w:rPr>
          <w:rFonts w:hint="default" w:ascii="Times New Roman" w:hAnsi="仿宋" w:eastAsia="仿宋"/>
          <w:sz w:val="32"/>
          <w:szCs w:val="32"/>
        </w:rPr>
        <w:t>人、</w:t>
      </w:r>
      <w:r>
        <w:rPr>
          <w:rFonts w:hint="default" w:ascii="Times New Roman" w:hAnsi="Times New Roman" w:eastAsia="仿宋"/>
          <w:sz w:val="32"/>
          <w:szCs w:val="32"/>
        </w:rPr>
        <w:t>4</w:t>
      </w:r>
      <w:r>
        <w:rPr>
          <w:rFonts w:hint="default" w:ascii="Times New Roman" w:hAnsi="仿宋" w:eastAsia="仿宋"/>
          <w:sz w:val="32"/>
          <w:szCs w:val="32"/>
        </w:rPr>
        <w:t>个集体荣获省乡村振兴青年先锋。全年组织</w:t>
      </w:r>
      <w:r>
        <w:rPr>
          <w:rFonts w:hint="default" w:ascii="Times New Roman" w:hAnsi="Times New Roman" w:eastAsia="仿宋"/>
          <w:sz w:val="32"/>
          <w:szCs w:val="32"/>
        </w:rPr>
        <w:t>141</w:t>
      </w:r>
      <w:r>
        <w:rPr>
          <w:rFonts w:hint="default" w:ascii="Times New Roman" w:hAnsi="仿宋" w:eastAsia="仿宋"/>
          <w:sz w:val="32"/>
          <w:szCs w:val="32"/>
        </w:rPr>
        <w:t>支青年突击队和</w:t>
      </w:r>
      <w:r>
        <w:rPr>
          <w:rFonts w:hint="default" w:ascii="Times New Roman" w:hAnsi="Times New Roman" w:eastAsia="仿宋"/>
          <w:sz w:val="32"/>
          <w:szCs w:val="32"/>
        </w:rPr>
        <w:t>94</w:t>
      </w:r>
      <w:r>
        <w:rPr>
          <w:rFonts w:hint="default" w:ascii="Times New Roman" w:hAnsi="仿宋" w:eastAsia="仿宋"/>
          <w:sz w:val="32"/>
          <w:szCs w:val="32"/>
        </w:rPr>
        <w:t>支青年志愿服务队参与疫情防控。益阳青年创新创业孵化基地入孵创业项目</w:t>
      </w:r>
      <w:r>
        <w:rPr>
          <w:rFonts w:hint="default" w:ascii="Times New Roman" w:hAnsi="Times New Roman" w:eastAsia="仿宋"/>
          <w:sz w:val="32"/>
          <w:szCs w:val="32"/>
        </w:rPr>
        <w:t>21</w:t>
      </w:r>
      <w:r>
        <w:rPr>
          <w:rFonts w:hint="default" w:ascii="Times New Roman" w:hAnsi="仿宋" w:eastAsia="仿宋"/>
          <w:sz w:val="32"/>
          <w:szCs w:val="32"/>
        </w:rPr>
        <w:t>个，毕业</w:t>
      </w:r>
      <w:r>
        <w:rPr>
          <w:rFonts w:hint="default" w:ascii="Times New Roman" w:hAnsi="Times New Roman" w:eastAsia="仿宋"/>
          <w:sz w:val="32"/>
          <w:szCs w:val="32"/>
        </w:rPr>
        <w:t>12</w:t>
      </w:r>
      <w:r>
        <w:rPr>
          <w:rFonts w:hint="default" w:ascii="Times New Roman" w:hAnsi="仿宋" w:eastAsia="仿宋"/>
          <w:sz w:val="32"/>
          <w:szCs w:val="32"/>
        </w:rPr>
        <w:t>个。湘台（益阳）青年创新创业基地成功挂牌。</w:t>
      </w:r>
      <w:r>
        <w:rPr>
          <w:rFonts w:hint="default" w:ascii="Times New Roman" w:hAnsi="Times New Roman" w:eastAsia="仿宋"/>
          <w:sz w:val="32"/>
          <w:szCs w:val="32"/>
        </w:rPr>
        <w:t>1</w:t>
      </w:r>
      <w:r>
        <w:rPr>
          <w:rFonts w:hint="default" w:ascii="Times New Roman" w:hAnsi="仿宋" w:eastAsia="仿宋"/>
          <w:sz w:val="32"/>
          <w:szCs w:val="32"/>
        </w:rPr>
        <w:t>个项目荣获第九届</w:t>
      </w:r>
      <w:r>
        <w:rPr>
          <w:rFonts w:hint="default" w:ascii="Times New Roman" w:hAnsi="Times New Roman" w:eastAsia="仿宋"/>
          <w:sz w:val="32"/>
          <w:szCs w:val="32"/>
        </w:rPr>
        <w:t>“</w:t>
      </w:r>
      <w:r>
        <w:rPr>
          <w:rFonts w:hint="default" w:ascii="Times New Roman" w:hAnsi="仿宋" w:eastAsia="仿宋"/>
          <w:sz w:val="32"/>
          <w:szCs w:val="32"/>
        </w:rPr>
        <w:t>创青春</w:t>
      </w:r>
      <w:r>
        <w:rPr>
          <w:rFonts w:hint="default" w:ascii="Times New Roman" w:hAnsi="Times New Roman" w:eastAsia="仿宋"/>
          <w:sz w:val="32"/>
          <w:szCs w:val="32"/>
        </w:rPr>
        <w:t>”</w:t>
      </w:r>
      <w:r>
        <w:rPr>
          <w:rFonts w:hint="default" w:ascii="Times New Roman" w:hAnsi="仿宋" w:eastAsia="仿宋"/>
          <w:sz w:val="32"/>
          <w:szCs w:val="32"/>
        </w:rPr>
        <w:t>中国青年创新创业大赛全国铜奖。</w:t>
      </w:r>
    </w:p>
    <w:p>
      <w:pPr>
        <w:spacing w:line="600" w:lineRule="exact"/>
        <w:ind w:firstLine="643" w:firstLineChars="200"/>
        <w:rPr>
          <w:rFonts w:ascii="Times New Roman" w:hAnsi="Times New Roman" w:eastAsia="仿宋" w:cs="Times New Roman"/>
          <w:kern w:val="0"/>
          <w:sz w:val="32"/>
          <w:szCs w:val="32"/>
        </w:rPr>
      </w:pPr>
      <w:r>
        <w:rPr>
          <w:rFonts w:ascii="Times New Roman" w:hAnsi="Times New Roman" w:eastAsia="仿宋" w:cs="Times New Roman"/>
          <w:b/>
          <w:bCs/>
          <w:kern w:val="0"/>
          <w:sz w:val="32"/>
          <w:szCs w:val="32"/>
        </w:rPr>
        <w:t>4.</w:t>
      </w:r>
      <w:r>
        <w:rPr>
          <w:rFonts w:ascii="Times New Roman" w:hAnsi="仿宋" w:eastAsia="仿宋" w:cs="Times New Roman"/>
          <w:b/>
          <w:bCs/>
          <w:kern w:val="0"/>
          <w:sz w:val="32"/>
          <w:szCs w:val="32"/>
        </w:rPr>
        <w:t>强化志愿服务。</w:t>
      </w:r>
      <w:r>
        <w:rPr>
          <w:rFonts w:ascii="Times New Roman" w:hAnsi="仿宋" w:eastAsia="仿宋" w:cs="Times New Roman"/>
          <w:kern w:val="0"/>
          <w:sz w:val="32"/>
          <w:szCs w:val="32"/>
        </w:rPr>
        <w:t>承办团中央</w:t>
      </w:r>
      <w:r>
        <w:rPr>
          <w:rFonts w:ascii="Times New Roman" w:hAnsi="Times New Roman" w:eastAsia="仿宋" w:cs="Times New Roman"/>
          <w:kern w:val="0"/>
          <w:sz w:val="32"/>
          <w:szCs w:val="32"/>
        </w:rPr>
        <w:t>2022</w:t>
      </w:r>
      <w:r>
        <w:rPr>
          <w:rFonts w:ascii="Times New Roman" w:hAnsi="仿宋" w:eastAsia="仿宋" w:cs="Times New Roman"/>
          <w:kern w:val="0"/>
          <w:sz w:val="32"/>
          <w:szCs w:val="32"/>
        </w:rPr>
        <w:t>年青年志愿者关爱农村留守儿童</w:t>
      </w:r>
      <w:r>
        <w:rPr>
          <w:rFonts w:ascii="Times New Roman" w:hAnsi="Times New Roman" w:eastAsia="仿宋" w:cs="Times New Roman"/>
          <w:kern w:val="0"/>
          <w:sz w:val="32"/>
          <w:szCs w:val="32"/>
        </w:rPr>
        <w:t>“</w:t>
      </w:r>
      <w:r>
        <w:rPr>
          <w:rFonts w:ascii="Times New Roman" w:hAnsi="仿宋" w:eastAsia="仿宋" w:cs="Times New Roman"/>
          <w:kern w:val="0"/>
          <w:sz w:val="32"/>
          <w:szCs w:val="32"/>
        </w:rPr>
        <w:t>七彩假期</w:t>
      </w:r>
      <w:r>
        <w:rPr>
          <w:rFonts w:ascii="Times New Roman" w:hAnsi="Times New Roman" w:eastAsia="仿宋" w:cs="Times New Roman"/>
          <w:kern w:val="0"/>
          <w:sz w:val="32"/>
          <w:szCs w:val="32"/>
        </w:rPr>
        <w:t>”</w:t>
      </w:r>
      <w:r>
        <w:rPr>
          <w:rFonts w:ascii="Times New Roman" w:hAnsi="仿宋" w:eastAsia="仿宋" w:cs="Times New Roman"/>
          <w:kern w:val="0"/>
          <w:sz w:val="32"/>
          <w:szCs w:val="32"/>
        </w:rPr>
        <w:t>志愿服务项目启动仪式，举办公益培训班超过</w:t>
      </w:r>
      <w:r>
        <w:rPr>
          <w:rFonts w:ascii="Times New Roman" w:hAnsi="Times New Roman" w:eastAsia="仿宋" w:cs="Times New Roman"/>
          <w:kern w:val="0"/>
          <w:sz w:val="32"/>
          <w:szCs w:val="32"/>
        </w:rPr>
        <w:t>90</w:t>
      </w:r>
      <w:r>
        <w:rPr>
          <w:rFonts w:ascii="Times New Roman" w:hAnsi="仿宋" w:eastAsia="仿宋" w:cs="Times New Roman"/>
          <w:kern w:val="0"/>
          <w:sz w:val="32"/>
          <w:szCs w:val="32"/>
        </w:rPr>
        <w:t>个，覆盖青少年超</w:t>
      </w:r>
      <w:r>
        <w:rPr>
          <w:rFonts w:ascii="Times New Roman" w:hAnsi="Times New Roman" w:eastAsia="仿宋" w:cs="Times New Roman"/>
          <w:kern w:val="0"/>
          <w:sz w:val="32"/>
          <w:szCs w:val="32"/>
        </w:rPr>
        <w:t>3000</w:t>
      </w:r>
      <w:r>
        <w:rPr>
          <w:rFonts w:ascii="Times New Roman" w:hAnsi="仿宋" w:eastAsia="仿宋" w:cs="Times New Roman"/>
          <w:kern w:val="0"/>
          <w:sz w:val="32"/>
          <w:szCs w:val="32"/>
        </w:rPr>
        <w:t>人，相关经验材料在省委《要情汇报》发表，</w:t>
      </w:r>
      <w:r>
        <w:rPr>
          <w:rFonts w:ascii="Times New Roman" w:hAnsi="Times New Roman" w:eastAsia="仿宋" w:cs="Times New Roman"/>
          <w:kern w:val="0"/>
          <w:sz w:val="32"/>
          <w:szCs w:val="32"/>
        </w:rPr>
        <w:t>12</w:t>
      </w:r>
      <w:r>
        <w:rPr>
          <w:rFonts w:ascii="Times New Roman" w:hAnsi="仿宋" w:eastAsia="仿宋" w:cs="Times New Roman"/>
          <w:kern w:val="0"/>
          <w:sz w:val="32"/>
          <w:szCs w:val="32"/>
        </w:rPr>
        <w:t>支队伍、</w:t>
      </w:r>
      <w:r>
        <w:rPr>
          <w:rFonts w:ascii="Times New Roman" w:hAnsi="Times New Roman" w:eastAsia="仿宋" w:cs="Times New Roman"/>
          <w:kern w:val="0"/>
          <w:sz w:val="32"/>
          <w:szCs w:val="32"/>
        </w:rPr>
        <w:t>34</w:t>
      </w:r>
      <w:r>
        <w:rPr>
          <w:rFonts w:ascii="Times New Roman" w:hAnsi="仿宋" w:eastAsia="仿宋" w:cs="Times New Roman"/>
          <w:kern w:val="0"/>
          <w:sz w:val="32"/>
          <w:szCs w:val="32"/>
        </w:rPr>
        <w:t>个个人荣获</w:t>
      </w:r>
      <w:r>
        <w:rPr>
          <w:rFonts w:ascii="Times New Roman" w:hAnsi="Times New Roman" w:eastAsia="仿宋" w:cs="Times New Roman"/>
          <w:kern w:val="0"/>
          <w:sz w:val="32"/>
          <w:szCs w:val="32"/>
        </w:rPr>
        <w:t>2022</w:t>
      </w:r>
      <w:r>
        <w:rPr>
          <w:rFonts w:ascii="Times New Roman" w:hAnsi="仿宋" w:eastAsia="仿宋" w:cs="Times New Roman"/>
          <w:kern w:val="0"/>
          <w:sz w:val="32"/>
          <w:szCs w:val="32"/>
        </w:rPr>
        <w:t>年湖南省</w:t>
      </w:r>
      <w:r>
        <w:rPr>
          <w:rFonts w:ascii="Times New Roman" w:hAnsi="Times New Roman" w:eastAsia="仿宋" w:cs="Times New Roman"/>
          <w:kern w:val="0"/>
          <w:sz w:val="32"/>
          <w:szCs w:val="32"/>
        </w:rPr>
        <w:t>“</w:t>
      </w:r>
      <w:r>
        <w:rPr>
          <w:rFonts w:ascii="Times New Roman" w:hAnsi="仿宋" w:eastAsia="仿宋" w:cs="Times New Roman"/>
          <w:kern w:val="0"/>
          <w:sz w:val="32"/>
          <w:szCs w:val="32"/>
        </w:rPr>
        <w:t>七彩假期</w:t>
      </w:r>
      <w:r>
        <w:rPr>
          <w:rFonts w:ascii="Times New Roman" w:hAnsi="Times New Roman" w:eastAsia="仿宋" w:cs="Times New Roman"/>
          <w:kern w:val="0"/>
          <w:sz w:val="32"/>
          <w:szCs w:val="32"/>
        </w:rPr>
        <w:t>”</w:t>
      </w:r>
      <w:r>
        <w:rPr>
          <w:rFonts w:ascii="Times New Roman" w:hAnsi="仿宋" w:eastAsia="仿宋" w:cs="Times New Roman"/>
          <w:kern w:val="0"/>
          <w:sz w:val="32"/>
          <w:szCs w:val="32"/>
        </w:rPr>
        <w:t>志愿服务优秀嘉许。中国作协在益系列活动志愿服务工作荣获市委表扬批示。益阳市</w:t>
      </w:r>
      <w:r>
        <w:rPr>
          <w:rFonts w:ascii="Times New Roman" w:hAnsi="Times New Roman" w:eastAsia="仿宋" w:cs="Times New Roman"/>
          <w:kern w:val="0"/>
          <w:sz w:val="32"/>
          <w:szCs w:val="32"/>
        </w:rPr>
        <w:t>“</w:t>
      </w:r>
      <w:r>
        <w:rPr>
          <w:rFonts w:ascii="Times New Roman" w:hAnsi="仿宋" w:eastAsia="仿宋" w:cs="Times New Roman"/>
          <w:kern w:val="0"/>
          <w:sz w:val="32"/>
          <w:szCs w:val="32"/>
        </w:rPr>
        <w:t>山乡新巨变</w:t>
      </w:r>
      <w:r>
        <w:rPr>
          <w:rFonts w:ascii="Times New Roman" w:hAnsi="Times New Roman" w:eastAsia="仿宋" w:cs="Times New Roman"/>
          <w:kern w:val="0"/>
          <w:sz w:val="32"/>
          <w:szCs w:val="32"/>
        </w:rPr>
        <w:t xml:space="preserve"> </w:t>
      </w:r>
      <w:r>
        <w:rPr>
          <w:rFonts w:ascii="Times New Roman" w:hAnsi="仿宋" w:eastAsia="仿宋" w:cs="Times New Roman"/>
          <w:kern w:val="0"/>
          <w:sz w:val="32"/>
          <w:szCs w:val="32"/>
        </w:rPr>
        <w:t>共享新洞庭</w:t>
      </w:r>
      <w:r>
        <w:rPr>
          <w:rFonts w:ascii="Times New Roman" w:hAnsi="Times New Roman" w:eastAsia="仿宋" w:cs="Times New Roman"/>
          <w:kern w:val="0"/>
          <w:sz w:val="32"/>
          <w:szCs w:val="32"/>
        </w:rPr>
        <w:t>”</w:t>
      </w:r>
      <w:r>
        <w:rPr>
          <w:rFonts w:ascii="Times New Roman" w:hAnsi="仿宋" w:eastAsia="仿宋" w:cs="Times New Roman"/>
          <w:kern w:val="0"/>
          <w:sz w:val="32"/>
          <w:szCs w:val="32"/>
        </w:rPr>
        <w:t>系列活动志愿服务工作荣获市政协通报表扬。</w:t>
      </w:r>
    </w:p>
    <w:p>
      <w:pPr>
        <w:autoSpaceDE w:val="0"/>
        <w:spacing w:line="600" w:lineRule="exact"/>
        <w:ind w:firstLine="643" w:firstLineChars="200"/>
        <w:rPr>
          <w:rFonts w:ascii="Times New Roman" w:hAnsi="Times New Roman" w:eastAsia="仿宋" w:cs="Times New Roman"/>
          <w:sz w:val="32"/>
          <w:szCs w:val="32"/>
        </w:rPr>
      </w:pPr>
      <w:r>
        <w:rPr>
          <w:rFonts w:ascii="Times New Roman" w:hAnsi="Times New Roman" w:eastAsia="仿宋" w:cs="Times New Roman"/>
          <w:b/>
          <w:bCs/>
          <w:sz w:val="32"/>
          <w:szCs w:val="32"/>
        </w:rPr>
        <w:t>5.</w:t>
      </w:r>
      <w:r>
        <w:rPr>
          <w:rFonts w:ascii="Times New Roman" w:hAnsi="仿宋" w:eastAsia="仿宋" w:cs="Times New Roman"/>
          <w:b/>
          <w:bCs/>
          <w:sz w:val="32"/>
          <w:szCs w:val="32"/>
        </w:rPr>
        <w:t>选树青年典型。</w:t>
      </w:r>
      <w:r>
        <w:rPr>
          <w:rFonts w:ascii="Times New Roman" w:hAnsi="仿宋" w:eastAsia="仿宋" w:cs="Times New Roman"/>
          <w:sz w:val="32"/>
          <w:szCs w:val="32"/>
        </w:rPr>
        <w:t>持续选树典型，我市青联常委董青斩获</w:t>
      </w:r>
      <w:r>
        <w:rPr>
          <w:rFonts w:ascii="Times New Roman" w:hAnsi="Times New Roman" w:eastAsia="仿宋" w:cs="Times New Roman"/>
          <w:sz w:val="32"/>
          <w:szCs w:val="32"/>
        </w:rPr>
        <w:t>2022</w:t>
      </w:r>
      <w:r>
        <w:rPr>
          <w:rFonts w:ascii="Times New Roman" w:hAnsi="仿宋" w:eastAsia="仿宋" w:cs="Times New Roman"/>
          <w:sz w:val="32"/>
          <w:szCs w:val="32"/>
        </w:rPr>
        <w:t>年世界技能大赛特别赛金牌，</w:t>
      </w:r>
      <w:r>
        <w:rPr>
          <w:rFonts w:ascii="Times New Roman" w:hAnsi="Times New Roman" w:eastAsia="仿宋" w:cs="Times New Roman"/>
          <w:sz w:val="32"/>
          <w:szCs w:val="32"/>
        </w:rPr>
        <w:t>1</w:t>
      </w:r>
      <w:r>
        <w:rPr>
          <w:rFonts w:ascii="Times New Roman" w:hAnsi="仿宋" w:eastAsia="仿宋" w:cs="Times New Roman"/>
          <w:sz w:val="32"/>
          <w:szCs w:val="32"/>
        </w:rPr>
        <w:t>人获评全国优秀共青团员，</w:t>
      </w:r>
      <w:r>
        <w:rPr>
          <w:rFonts w:ascii="Times New Roman" w:hAnsi="Times New Roman" w:eastAsia="仿宋" w:cs="Times New Roman"/>
          <w:sz w:val="32"/>
          <w:szCs w:val="32"/>
        </w:rPr>
        <w:t>1</w:t>
      </w:r>
      <w:r>
        <w:rPr>
          <w:rFonts w:ascii="Times New Roman" w:hAnsi="仿宋" w:eastAsia="仿宋" w:cs="Times New Roman"/>
          <w:sz w:val="32"/>
          <w:szCs w:val="32"/>
        </w:rPr>
        <w:t>个团支部获评全国优秀团支部，</w:t>
      </w:r>
      <w:r>
        <w:rPr>
          <w:rFonts w:ascii="Times New Roman" w:hAnsi="Times New Roman" w:eastAsia="仿宋" w:cs="Times New Roman"/>
          <w:sz w:val="32"/>
          <w:szCs w:val="32"/>
        </w:rPr>
        <w:t>1</w:t>
      </w:r>
      <w:r>
        <w:rPr>
          <w:rFonts w:ascii="Times New Roman" w:hAnsi="仿宋" w:eastAsia="仿宋" w:cs="Times New Roman"/>
          <w:sz w:val="32"/>
          <w:szCs w:val="32"/>
        </w:rPr>
        <w:t>人获评全国向上向善好青年，</w:t>
      </w:r>
      <w:r>
        <w:rPr>
          <w:rFonts w:ascii="Times New Roman" w:hAnsi="Times New Roman" w:eastAsia="仿宋" w:cs="Times New Roman"/>
          <w:sz w:val="32"/>
          <w:szCs w:val="32"/>
        </w:rPr>
        <w:t>13</w:t>
      </w:r>
      <w:r>
        <w:rPr>
          <w:rFonts w:ascii="Times New Roman" w:hAnsi="仿宋" w:eastAsia="仿宋" w:cs="Times New Roman"/>
          <w:sz w:val="32"/>
          <w:szCs w:val="32"/>
        </w:rPr>
        <w:t>个集体和个人获得省级双红双优公示，</w:t>
      </w:r>
      <w:r>
        <w:rPr>
          <w:rFonts w:ascii="Times New Roman" w:hAnsi="Times New Roman" w:eastAsia="仿宋" w:cs="Times New Roman"/>
          <w:sz w:val="32"/>
          <w:szCs w:val="32"/>
        </w:rPr>
        <w:t>3</w:t>
      </w:r>
      <w:r>
        <w:rPr>
          <w:rFonts w:ascii="Times New Roman" w:hAnsi="仿宋" w:eastAsia="仿宋" w:cs="Times New Roman"/>
          <w:sz w:val="32"/>
          <w:szCs w:val="32"/>
        </w:rPr>
        <w:t>个集体和个人获得省级五四奖章，</w:t>
      </w:r>
      <w:r>
        <w:rPr>
          <w:rFonts w:ascii="Times New Roman" w:hAnsi="Times New Roman" w:eastAsia="仿宋" w:cs="Times New Roman"/>
          <w:sz w:val="32"/>
          <w:szCs w:val="32"/>
        </w:rPr>
        <w:t>1</w:t>
      </w:r>
      <w:r>
        <w:rPr>
          <w:rFonts w:ascii="Times New Roman" w:hAnsi="仿宋" w:eastAsia="仿宋" w:cs="Times New Roman"/>
          <w:sz w:val="32"/>
          <w:szCs w:val="32"/>
        </w:rPr>
        <w:t>人获评省级向上向善好青年，</w:t>
      </w:r>
      <w:r>
        <w:rPr>
          <w:rFonts w:ascii="Times New Roman" w:hAnsi="Times New Roman" w:eastAsia="仿宋" w:cs="Times New Roman"/>
          <w:sz w:val="32"/>
          <w:szCs w:val="32"/>
        </w:rPr>
        <w:t>3</w:t>
      </w:r>
      <w:r>
        <w:rPr>
          <w:rFonts w:ascii="Times New Roman" w:hAnsi="仿宋" w:eastAsia="仿宋" w:cs="Times New Roman"/>
          <w:sz w:val="32"/>
          <w:szCs w:val="32"/>
        </w:rPr>
        <w:t>人获评</w:t>
      </w:r>
      <w:r>
        <w:rPr>
          <w:rFonts w:ascii="Times New Roman" w:hAnsi="Times New Roman" w:eastAsia="仿宋" w:cs="Times New Roman"/>
          <w:sz w:val="32"/>
          <w:szCs w:val="32"/>
        </w:rPr>
        <w:t>“</w:t>
      </w:r>
      <w:r>
        <w:rPr>
          <w:rFonts w:ascii="Times New Roman" w:hAnsi="仿宋" w:eastAsia="仿宋" w:cs="Times New Roman"/>
          <w:sz w:val="32"/>
          <w:szCs w:val="32"/>
        </w:rPr>
        <w:t>湖湘青年英才</w:t>
      </w:r>
      <w:r>
        <w:rPr>
          <w:rFonts w:ascii="Times New Roman" w:hAnsi="Times New Roman" w:eastAsia="仿宋" w:cs="Times New Roman"/>
          <w:sz w:val="32"/>
          <w:szCs w:val="32"/>
        </w:rPr>
        <w:t>”</w:t>
      </w:r>
      <w:r>
        <w:rPr>
          <w:rFonts w:ascii="Times New Roman" w:hAnsi="仿宋" w:eastAsia="仿宋" w:cs="Times New Roman"/>
          <w:sz w:val="32"/>
          <w:szCs w:val="32"/>
        </w:rPr>
        <w:t>。</w:t>
      </w:r>
    </w:p>
    <w:p>
      <w:pPr>
        <w:autoSpaceDE w:val="0"/>
        <w:spacing w:line="600" w:lineRule="exact"/>
        <w:ind w:firstLine="643" w:firstLineChars="200"/>
        <w:rPr>
          <w:rFonts w:ascii="Times New Roman" w:hAnsi="Times New Roman" w:eastAsia="仿宋" w:cs="Times New Roman"/>
          <w:color w:val="FF0000"/>
          <w:sz w:val="32"/>
          <w:szCs w:val="32"/>
          <w:shd w:val="clear" w:color="auto" w:fill="FFFFFF"/>
        </w:rPr>
      </w:pPr>
      <w:r>
        <w:rPr>
          <w:rFonts w:ascii="Times New Roman" w:hAnsi="Times New Roman" w:eastAsia="楷体" w:cs="Times New Roman"/>
          <w:b/>
          <w:bCs/>
          <w:color w:val="333333"/>
          <w:sz w:val="32"/>
          <w:szCs w:val="32"/>
          <w:shd w:val="clear" w:color="auto" w:fill="FFFFFF"/>
        </w:rPr>
        <w:t>6.</w:t>
      </w:r>
      <w:r>
        <w:rPr>
          <w:rFonts w:ascii="Times New Roman" w:hAnsi="仿宋" w:eastAsia="仿宋" w:cs="Times New Roman"/>
          <w:b/>
          <w:bCs/>
          <w:color w:val="333333"/>
          <w:sz w:val="32"/>
          <w:szCs w:val="32"/>
          <w:shd w:val="clear" w:color="auto" w:fill="FFFFFF"/>
        </w:rPr>
        <w:t>建强工作阵地。</w:t>
      </w:r>
      <w:r>
        <w:rPr>
          <w:rFonts w:ascii="Times New Roman" w:hAnsi="仿宋" w:eastAsia="仿宋" w:cs="Times New Roman"/>
          <w:sz w:val="32"/>
          <w:szCs w:val="32"/>
          <w:shd w:val="clear" w:color="auto" w:fill="FFFFFF"/>
        </w:rPr>
        <w:t>投资</w:t>
      </w:r>
      <w:r>
        <w:rPr>
          <w:rFonts w:ascii="Times New Roman" w:hAnsi="Times New Roman" w:eastAsia="仿宋" w:cs="Times New Roman"/>
          <w:sz w:val="32"/>
          <w:szCs w:val="32"/>
          <w:shd w:val="clear" w:color="auto" w:fill="FFFFFF"/>
        </w:rPr>
        <w:t>2800</w:t>
      </w:r>
      <w:r>
        <w:rPr>
          <w:rFonts w:ascii="Times New Roman" w:hAnsi="仿宋" w:eastAsia="仿宋" w:cs="Times New Roman"/>
          <w:sz w:val="32"/>
          <w:szCs w:val="32"/>
          <w:shd w:val="clear" w:color="auto" w:fill="FFFFFF"/>
        </w:rPr>
        <w:t>万元的益阳市青少年活动中心建成投入使用，全年开展活动</w:t>
      </w:r>
      <w:r>
        <w:rPr>
          <w:rFonts w:ascii="Times New Roman" w:hAnsi="Times New Roman" w:eastAsia="仿宋" w:cs="Times New Roman"/>
          <w:sz w:val="32"/>
          <w:szCs w:val="32"/>
          <w:shd w:val="clear" w:color="auto" w:fill="FFFFFF"/>
        </w:rPr>
        <w:t>178</w:t>
      </w:r>
      <w:r>
        <w:rPr>
          <w:rFonts w:ascii="Times New Roman" w:hAnsi="仿宋" w:eastAsia="仿宋" w:cs="Times New Roman"/>
          <w:sz w:val="32"/>
          <w:szCs w:val="32"/>
          <w:shd w:val="clear" w:color="auto" w:fill="FFFFFF"/>
        </w:rPr>
        <w:t>场，覆盖</w:t>
      </w:r>
      <w:r>
        <w:rPr>
          <w:rFonts w:ascii="Times New Roman" w:hAnsi="Times New Roman" w:eastAsia="仿宋" w:cs="Times New Roman"/>
          <w:sz w:val="32"/>
          <w:szCs w:val="32"/>
          <w:shd w:val="clear" w:color="auto" w:fill="FFFFFF"/>
        </w:rPr>
        <w:t>10</w:t>
      </w:r>
      <w:r>
        <w:rPr>
          <w:rFonts w:ascii="Times New Roman" w:hAnsi="仿宋" w:eastAsia="仿宋" w:cs="Times New Roman"/>
          <w:sz w:val="32"/>
          <w:szCs w:val="32"/>
          <w:shd w:val="clear" w:color="auto" w:fill="FFFFFF"/>
        </w:rPr>
        <w:t>万余人次。与市直相关部门共建</w:t>
      </w:r>
      <w:r>
        <w:rPr>
          <w:rFonts w:ascii="Times New Roman" w:hAnsi="Times New Roman" w:eastAsia="仿宋" w:cs="Times New Roman"/>
          <w:sz w:val="32"/>
          <w:szCs w:val="32"/>
          <w:shd w:val="clear" w:color="auto" w:fill="FFFFFF"/>
        </w:rPr>
        <w:t>“</w:t>
      </w:r>
      <w:r>
        <w:rPr>
          <w:rFonts w:ascii="Times New Roman" w:hAnsi="仿宋" w:eastAsia="仿宋" w:cs="Times New Roman"/>
          <w:sz w:val="32"/>
          <w:szCs w:val="32"/>
          <w:shd w:val="clear" w:color="auto" w:fill="FFFFFF"/>
        </w:rPr>
        <w:t>益阳市法治教育基地</w:t>
      </w:r>
      <w:r>
        <w:rPr>
          <w:rFonts w:ascii="Times New Roman" w:hAnsi="Times New Roman" w:eastAsia="仿宋" w:cs="Times New Roman"/>
          <w:sz w:val="32"/>
          <w:szCs w:val="32"/>
          <w:shd w:val="clear" w:color="auto" w:fill="FFFFFF"/>
        </w:rPr>
        <w:t>”“</w:t>
      </w:r>
      <w:r>
        <w:rPr>
          <w:rFonts w:ascii="Times New Roman" w:hAnsi="仿宋" w:eastAsia="仿宋" w:cs="Times New Roman"/>
          <w:sz w:val="32"/>
          <w:szCs w:val="32"/>
          <w:shd w:val="clear" w:color="auto" w:fill="FFFFFF"/>
        </w:rPr>
        <w:t>益阳市河小青行动中心</w:t>
      </w:r>
      <w:r>
        <w:rPr>
          <w:rFonts w:ascii="Times New Roman" w:hAnsi="Times New Roman" w:eastAsia="仿宋" w:cs="Times New Roman"/>
          <w:sz w:val="32"/>
          <w:szCs w:val="32"/>
          <w:shd w:val="clear" w:color="auto" w:fill="FFFFFF"/>
        </w:rPr>
        <w:t>”“</w:t>
      </w:r>
      <w:r>
        <w:rPr>
          <w:rFonts w:ascii="Times New Roman" w:hAnsi="仿宋" w:eastAsia="仿宋" w:cs="Times New Roman"/>
          <w:sz w:val="32"/>
          <w:szCs w:val="32"/>
          <w:shd w:val="clear" w:color="auto" w:fill="FFFFFF"/>
        </w:rPr>
        <w:t>益阳市生活垃圾分类宣教中心</w:t>
      </w:r>
      <w:r>
        <w:rPr>
          <w:rFonts w:ascii="Times New Roman" w:hAnsi="Times New Roman" w:eastAsia="仿宋" w:cs="Times New Roman"/>
          <w:sz w:val="32"/>
          <w:szCs w:val="32"/>
          <w:shd w:val="clear" w:color="auto" w:fill="FFFFFF"/>
        </w:rPr>
        <w:t>”“</w:t>
      </w:r>
      <w:r>
        <w:rPr>
          <w:rFonts w:ascii="Times New Roman" w:hAnsi="仿宋" w:eastAsia="仿宋" w:cs="Times New Roman"/>
          <w:sz w:val="32"/>
          <w:szCs w:val="32"/>
          <w:shd w:val="clear" w:color="auto" w:fill="FFFFFF"/>
        </w:rPr>
        <w:t>洞庭湖湿地保护宣教中心</w:t>
      </w:r>
      <w:r>
        <w:rPr>
          <w:rFonts w:ascii="Times New Roman" w:hAnsi="Times New Roman" w:eastAsia="仿宋" w:cs="Times New Roman"/>
          <w:sz w:val="32"/>
          <w:szCs w:val="32"/>
          <w:shd w:val="clear" w:color="auto" w:fill="FFFFFF"/>
        </w:rPr>
        <w:t>”</w:t>
      </w:r>
      <w:r>
        <w:rPr>
          <w:rFonts w:ascii="Times New Roman" w:hAnsi="仿宋" w:eastAsia="仿宋" w:cs="Times New Roman"/>
          <w:sz w:val="32"/>
          <w:szCs w:val="32"/>
          <w:shd w:val="clear" w:color="auto" w:fill="FFFFFF"/>
        </w:rPr>
        <w:t>，进一步延伸了共青团工作的触角。</w:t>
      </w:r>
    </w:p>
    <w:p>
      <w:pPr>
        <w:pStyle w:val="6"/>
        <w:widowControl/>
        <w:shd w:val="clear" w:color="auto" w:fill="FFFFFF"/>
        <w:autoSpaceDE w:val="0"/>
        <w:spacing w:line="600" w:lineRule="exact"/>
        <w:ind w:firstLine="643" w:firstLineChars="200"/>
        <w:jc w:val="both"/>
        <w:rPr>
          <w:rFonts w:hint="default" w:ascii="Times New Roman" w:hAnsi="Times New Roman" w:eastAsia="方正仿宋简体"/>
          <w:sz w:val="32"/>
          <w:szCs w:val="32"/>
        </w:rPr>
      </w:pPr>
      <w:r>
        <w:rPr>
          <w:rFonts w:hint="default" w:ascii="Times New Roman" w:hAnsi="Times New Roman" w:eastAsia="仿宋"/>
          <w:b/>
          <w:bCs/>
          <w:sz w:val="32"/>
          <w:szCs w:val="32"/>
        </w:rPr>
        <w:t>7.</w:t>
      </w:r>
      <w:r>
        <w:rPr>
          <w:rFonts w:hint="default" w:ascii="Times New Roman" w:hAnsi="仿宋" w:eastAsia="仿宋"/>
          <w:b/>
          <w:bCs/>
          <w:sz w:val="32"/>
          <w:szCs w:val="32"/>
        </w:rPr>
        <w:t>保护青年权益。</w:t>
      </w:r>
      <w:r>
        <w:rPr>
          <w:rFonts w:hint="default" w:ascii="Times New Roman" w:hAnsi="仿宋" w:eastAsia="仿宋"/>
          <w:sz w:val="32"/>
          <w:szCs w:val="32"/>
        </w:rPr>
        <w:t>牵头开展预防青少年违法犯罪工作调研，调研报告获</w:t>
      </w:r>
      <w:r>
        <w:rPr>
          <w:rFonts w:hint="eastAsia" w:ascii="Times New Roman" w:hAnsi="仿宋" w:eastAsia="仿宋"/>
          <w:sz w:val="32"/>
          <w:szCs w:val="32"/>
          <w:lang w:eastAsia="zh-CN"/>
        </w:rPr>
        <w:t>时任市委书记</w:t>
      </w:r>
      <w:r>
        <w:rPr>
          <w:rFonts w:hint="default" w:ascii="Times New Roman" w:hAnsi="仿宋" w:eastAsia="仿宋"/>
          <w:sz w:val="32"/>
          <w:szCs w:val="32"/>
        </w:rPr>
        <w:t>瞿海、</w:t>
      </w:r>
      <w:r>
        <w:rPr>
          <w:rFonts w:hint="eastAsia" w:ascii="Times New Roman" w:hAnsi="仿宋" w:eastAsia="仿宋"/>
          <w:sz w:val="32"/>
          <w:szCs w:val="32"/>
          <w:lang w:eastAsia="zh-CN"/>
        </w:rPr>
        <w:t>时任市委</w:t>
      </w:r>
      <w:r>
        <w:rPr>
          <w:rFonts w:hint="default" w:ascii="Times New Roman" w:hAnsi="仿宋" w:eastAsia="仿宋"/>
          <w:sz w:val="32"/>
          <w:szCs w:val="32"/>
        </w:rPr>
        <w:t>副书记熊炜肯定性批示。成立益阳市</w:t>
      </w:r>
      <w:r>
        <w:rPr>
          <w:rFonts w:hint="default" w:ascii="Times New Roman" w:hAnsi="Times New Roman" w:eastAsia="仿宋"/>
          <w:sz w:val="32"/>
          <w:szCs w:val="32"/>
        </w:rPr>
        <w:t>12355</w:t>
      </w:r>
      <w:r>
        <w:rPr>
          <w:rFonts w:hint="default" w:ascii="Times New Roman" w:hAnsi="仿宋" w:eastAsia="仿宋"/>
          <w:sz w:val="32"/>
          <w:szCs w:val="32"/>
        </w:rPr>
        <w:t>青少年心理健康志愿服务队。</w:t>
      </w:r>
    </w:p>
    <w:p>
      <w:pPr>
        <w:rPr>
          <w:rFonts w:ascii="Times New Roman" w:hAnsi="Times New Roman" w:eastAsia="黑体" w:cs="Times New Roman"/>
          <w:sz w:val="32"/>
          <w:szCs w:val="32"/>
        </w:rPr>
      </w:pPr>
      <w:r>
        <w:rPr>
          <w:rFonts w:ascii="Times New Roman" w:hAnsi="黑体" w:eastAsia="黑体" w:cs="Times New Roman"/>
          <w:sz w:val="32"/>
          <w:szCs w:val="32"/>
        </w:rPr>
        <w:t>五、存在的问题和改进措施</w:t>
      </w:r>
      <w:bookmarkStart w:id="0" w:name="_GoBack"/>
      <w:bookmarkEnd w:id="0"/>
    </w:p>
    <w:p>
      <w:pPr>
        <w:spacing w:line="60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（一）存在问题</w:t>
      </w:r>
    </w:p>
    <w:p>
      <w:pPr>
        <w:spacing w:line="6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1</w:t>
      </w:r>
      <w:r>
        <w:rPr>
          <w:rFonts w:ascii="Times New Roman" w:hAnsi="方正仿宋简体" w:eastAsia="方正仿宋简体" w:cs="Times New Roman"/>
          <w:sz w:val="32"/>
          <w:szCs w:val="32"/>
        </w:rPr>
        <w:t>、项目预算绩效管理有待进一步加强，预算编制当中绩效目标意识不够，对资金的管理使用不够系统全面。</w:t>
      </w:r>
    </w:p>
    <w:p>
      <w:pPr>
        <w:spacing w:line="6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2</w:t>
      </w:r>
      <w:r>
        <w:rPr>
          <w:rFonts w:ascii="Times New Roman" w:hAnsi="方正仿宋简体" w:eastAsia="方正仿宋简体" w:cs="Times New Roman"/>
          <w:sz w:val="32"/>
          <w:szCs w:val="32"/>
        </w:rPr>
        <w:t>、项目绩效目标设立不够细化、量化。虽然按要求及时申报了项目资料，但项目绩效目标在细化、量化方面还不到位。</w:t>
      </w:r>
    </w:p>
    <w:p>
      <w:pPr>
        <w:spacing w:line="60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（二）改进措施</w:t>
      </w:r>
    </w:p>
    <w:p>
      <w:pPr>
        <w:spacing w:line="6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1</w:t>
      </w:r>
      <w:r>
        <w:rPr>
          <w:rFonts w:ascii="Times New Roman" w:hAnsi="方正仿宋简体" w:eastAsia="方正仿宋简体" w:cs="Times New Roman"/>
          <w:sz w:val="32"/>
          <w:szCs w:val="32"/>
        </w:rPr>
        <w:t>、加强预算绩效管理工作。提升项目在资金支出绩效管理意识，科学合理地对财政支出进行管理。</w:t>
      </w:r>
    </w:p>
    <w:p>
      <w:pPr>
        <w:spacing w:line="6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2</w:t>
      </w:r>
      <w:r>
        <w:rPr>
          <w:rFonts w:ascii="Times New Roman" w:hAnsi="方正仿宋简体" w:eastAsia="方正仿宋简体" w:cs="Times New Roman"/>
          <w:sz w:val="32"/>
          <w:szCs w:val="32"/>
        </w:rPr>
        <w:t>、抓好项目绩效目标申报，提高项目绩效目标申报质量，项目绩效目标做到明确、细化、量化。</w:t>
      </w:r>
    </w:p>
    <w:p>
      <w:pPr>
        <w:spacing w:line="600"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六、绩效自评结果拟应用和公开情况</w:t>
      </w:r>
    </w:p>
    <w:p>
      <w:pPr>
        <w:spacing w:line="6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2022</w:t>
      </w:r>
      <w:r>
        <w:rPr>
          <w:rFonts w:ascii="Times New Roman" w:hAnsi="方正仿宋简体" w:eastAsia="方正仿宋简体" w:cs="Times New Roman"/>
          <w:sz w:val="32"/>
          <w:szCs w:val="32"/>
        </w:rPr>
        <w:t>年团市委青少年事业发展专项经费绩效自评结果为优秀，拟通过市财政局指定网站和</w:t>
      </w:r>
      <w:r>
        <w:rPr>
          <w:rFonts w:ascii="Times New Roman" w:hAnsi="Times New Roman" w:eastAsia="方正仿宋简体" w:cs="Times New Roman"/>
          <w:spacing w:val="-8"/>
          <w:sz w:val="32"/>
          <w:szCs w:val="32"/>
        </w:rPr>
        <w:t>益阳共青团官网</w:t>
      </w:r>
      <w:r>
        <w:rPr>
          <w:rFonts w:ascii="Times New Roman" w:hAnsi="方正仿宋简体" w:eastAsia="方正仿宋简体" w:cs="Times New Roman"/>
          <w:sz w:val="32"/>
          <w:szCs w:val="32"/>
        </w:rPr>
        <w:t>向社会公开，接受社会监督。</w:t>
      </w:r>
    </w:p>
    <w:p>
      <w:pPr>
        <w:numPr>
          <w:ilvl w:val="0"/>
          <w:numId w:val="1"/>
        </w:numPr>
        <w:spacing w:line="600"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其他需要说明的问题</w:t>
      </w:r>
    </w:p>
    <w:p>
      <w:pPr>
        <w:spacing w:line="600" w:lineRule="exact"/>
        <w:ind w:firstLine="640" w:firstLineChars="200"/>
        <w:rPr>
          <w:rFonts w:ascii="Times New Roman" w:hAnsi="Times New Roman" w:eastAsia="方正仿宋简体" w:cs="Times New Roman"/>
          <w:sz w:val="32"/>
          <w:szCs w:val="32"/>
        </w:rPr>
      </w:pPr>
      <w:r>
        <w:rPr>
          <w:rFonts w:ascii="Times New Roman" w:hAnsi="方正仿宋简体" w:eastAsia="方正仿宋简体" w:cs="Times New Roman"/>
          <w:sz w:val="32"/>
          <w:szCs w:val="32"/>
        </w:rPr>
        <w:t>无</w:t>
      </w:r>
    </w:p>
    <w:p>
      <w:pPr>
        <w:widowControl/>
        <w:spacing w:line="600" w:lineRule="exact"/>
        <w:ind w:firstLine="640" w:firstLineChars="200"/>
        <w:rPr>
          <w:rFonts w:ascii="Times New Roman" w:hAnsi="Times New Roman" w:eastAsia="方正小标宋_GBK" w:cs="Times New Roman"/>
          <w:color w:val="000000"/>
          <w:kern w:val="0"/>
          <w:sz w:val="36"/>
          <w:szCs w:val="36"/>
        </w:rPr>
      </w:pPr>
      <w:r>
        <w:rPr>
          <w:rFonts w:ascii="Times New Roman" w:hAnsi="方正仿宋简体" w:eastAsia="方正仿宋简体" w:cs="Times New Roman"/>
          <w:sz w:val="32"/>
          <w:szCs w:val="32"/>
        </w:rPr>
        <w:t>附件</w:t>
      </w:r>
      <w:r>
        <w:rPr>
          <w:rFonts w:ascii="Times New Roman" w:hAnsi="Times New Roman" w:eastAsia="方正仿宋简体" w:cs="Times New Roman"/>
          <w:sz w:val="32"/>
          <w:szCs w:val="32"/>
        </w:rPr>
        <w:t>:2022</w:t>
      </w:r>
      <w:r>
        <w:rPr>
          <w:rFonts w:ascii="Times New Roman" w:hAnsi="方正仿宋简体" w:eastAsia="方正仿宋简体" w:cs="Times New Roman"/>
          <w:sz w:val="32"/>
          <w:szCs w:val="32"/>
        </w:rPr>
        <w:t>年度项目支出绩效自评表</w:t>
      </w:r>
    </w:p>
    <w:p>
      <w:pPr>
        <w:rPr>
          <w:rFonts w:ascii="Times New Roman" w:hAnsi="Times New Roman" w:eastAsia="方正仿宋简体" w:cs="Times New Roman"/>
          <w:sz w:val="32"/>
          <w:szCs w:val="32"/>
        </w:rPr>
      </w:pPr>
    </w:p>
    <w:p>
      <w:pPr>
        <w:rPr>
          <w:rFonts w:ascii="Times New Roman" w:hAnsi="Times New Roman" w:eastAsia="方正仿宋简体" w:cs="Times New Roman"/>
          <w:sz w:val="32"/>
          <w:szCs w:val="32"/>
        </w:rPr>
      </w:pPr>
    </w:p>
    <w:p>
      <w:pPr>
        <w:widowControl/>
        <w:jc w:val="left"/>
        <w:rPr>
          <w:rFonts w:ascii="Times New Roman" w:hAnsi="Times New Roman" w:eastAsia="黑体" w:cs="Times New Roman"/>
          <w:sz w:val="32"/>
          <w:szCs w:val="32"/>
        </w:rPr>
      </w:pPr>
      <w:r>
        <w:rPr>
          <w:rFonts w:ascii="Times New Roman" w:hAnsi="Times New Roman" w:eastAsia="黑体" w:cs="Times New Roman"/>
          <w:sz w:val="32"/>
          <w:szCs w:val="32"/>
        </w:rPr>
        <w:t>附件</w:t>
      </w:r>
    </w:p>
    <w:p>
      <w:pPr>
        <w:widowControl/>
        <w:spacing w:beforeLines="100" w:afterLines="100" w:line="400" w:lineRule="exact"/>
        <w:jc w:val="center"/>
        <w:rPr>
          <w:rFonts w:ascii="Times New Roman" w:hAnsi="Times New Roman" w:eastAsia="方正小标宋_GBK" w:cs="Times New Roman"/>
          <w:color w:val="000000"/>
          <w:kern w:val="0"/>
          <w:sz w:val="36"/>
          <w:szCs w:val="36"/>
        </w:rPr>
      </w:pPr>
      <w:r>
        <w:rPr>
          <w:rFonts w:ascii="Times New Roman" w:hAnsi="Times New Roman" w:eastAsia="方正小标宋_GBK" w:cs="Times New Roman"/>
          <w:color w:val="000000"/>
          <w:kern w:val="0"/>
          <w:sz w:val="36"/>
          <w:szCs w:val="36"/>
        </w:rPr>
        <w:t>2022年度项目支出绩效自评表</w:t>
      </w:r>
    </w:p>
    <w:tbl>
      <w:tblPr>
        <w:tblStyle w:val="8"/>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735"/>
        <w:gridCol w:w="1005"/>
        <w:gridCol w:w="1644"/>
        <w:gridCol w:w="876"/>
        <w:gridCol w:w="1455"/>
        <w:gridCol w:w="855"/>
        <w:gridCol w:w="783"/>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080" w:type="dxa"/>
            <w:vAlign w:val="center"/>
          </w:tcPr>
          <w:p>
            <w:pPr>
              <w:widowControl/>
              <w:spacing w:line="26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项目名称</w:t>
            </w:r>
          </w:p>
        </w:tc>
        <w:tc>
          <w:tcPr>
            <w:tcW w:w="8771" w:type="dxa"/>
            <w:gridSpan w:val="8"/>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青少年事业发展专项经费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主管部门</w:t>
            </w:r>
          </w:p>
        </w:tc>
        <w:tc>
          <w:tcPr>
            <w:tcW w:w="4260" w:type="dxa"/>
            <w:gridSpan w:val="4"/>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r>
              <w:rPr>
                <w:rFonts w:ascii="Times New Roman" w:hAnsi="Times New Roman" w:cs="Times New Roman"/>
                <w:color w:val="000000"/>
                <w:kern w:val="0"/>
                <w:szCs w:val="21"/>
              </w:rPr>
              <w:t>共青团益阳市委</w:t>
            </w:r>
          </w:p>
        </w:tc>
        <w:tc>
          <w:tcPr>
            <w:tcW w:w="1455" w:type="dxa"/>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实施单位</w:t>
            </w:r>
          </w:p>
        </w:tc>
        <w:tc>
          <w:tcPr>
            <w:tcW w:w="3056" w:type="dxa"/>
            <w:gridSpan w:val="3"/>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r>
              <w:rPr>
                <w:rFonts w:ascii="Times New Roman" w:hAnsi="Times New Roman" w:cs="Times New Roman"/>
                <w:color w:val="000000"/>
                <w:kern w:val="0"/>
                <w:szCs w:val="21"/>
              </w:rPr>
              <w:t>共青团益阳市委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restart"/>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项目资金</w:t>
            </w:r>
            <w:r>
              <w:rPr>
                <w:rFonts w:ascii="Times New Roman" w:hAnsi="Times New Roman" w:eastAsia="仿宋_GB2312" w:cs="Times New Roman"/>
                <w:color w:val="000000"/>
                <w:kern w:val="0"/>
                <w:szCs w:val="21"/>
              </w:rPr>
              <w:br w:type="textWrapping"/>
            </w:r>
            <w:r>
              <w:rPr>
                <w:rFonts w:ascii="Times New Roman" w:hAnsi="Times New Roman" w:eastAsia="仿宋_GB2312" w:cs="Times New Roman"/>
                <w:color w:val="000000"/>
                <w:kern w:val="0"/>
                <w:szCs w:val="21"/>
              </w:rPr>
              <w:t>（万元）</w:t>
            </w:r>
          </w:p>
        </w:tc>
        <w:tc>
          <w:tcPr>
            <w:tcW w:w="1740" w:type="dxa"/>
            <w:gridSpan w:val="2"/>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1644" w:type="dxa"/>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年初</w:t>
            </w:r>
          </w:p>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预算数</w:t>
            </w:r>
          </w:p>
        </w:tc>
        <w:tc>
          <w:tcPr>
            <w:tcW w:w="876" w:type="dxa"/>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全年</w:t>
            </w:r>
          </w:p>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预算数</w:t>
            </w:r>
          </w:p>
        </w:tc>
        <w:tc>
          <w:tcPr>
            <w:tcW w:w="1455" w:type="dxa"/>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全年</w:t>
            </w:r>
          </w:p>
          <w:p>
            <w:pPr>
              <w:jc w:val="center"/>
              <w:rPr>
                <w:rFonts w:ascii="Times New Roman" w:hAnsi="Times New Roman" w:eastAsia="仿宋_GB2312" w:cs="Times New Roman"/>
                <w:szCs w:val="21"/>
              </w:rPr>
            </w:pPr>
            <w:r>
              <w:rPr>
                <w:rFonts w:ascii="Times New Roman" w:hAnsi="Times New Roman" w:eastAsia="仿宋_GB2312" w:cs="Times New Roman"/>
                <w:szCs w:val="21"/>
              </w:rPr>
              <w:t>执行数</w:t>
            </w:r>
          </w:p>
        </w:tc>
        <w:tc>
          <w:tcPr>
            <w:tcW w:w="855" w:type="dxa"/>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分值</w:t>
            </w:r>
          </w:p>
        </w:tc>
        <w:tc>
          <w:tcPr>
            <w:tcW w:w="783" w:type="dxa"/>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执行率</w:t>
            </w:r>
          </w:p>
        </w:tc>
        <w:tc>
          <w:tcPr>
            <w:tcW w:w="1418" w:type="dxa"/>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vAlign w:val="center"/>
          </w:tcPr>
          <w:p>
            <w:pPr>
              <w:widowControl/>
              <w:jc w:val="left"/>
              <w:rPr>
                <w:rFonts w:ascii="Times New Roman" w:hAnsi="Times New Roman" w:eastAsia="仿宋_GB2312" w:cs="Times New Roman"/>
                <w:color w:val="000000"/>
                <w:kern w:val="0"/>
                <w:szCs w:val="21"/>
              </w:rPr>
            </w:pPr>
          </w:p>
        </w:tc>
        <w:tc>
          <w:tcPr>
            <w:tcW w:w="1740" w:type="dxa"/>
            <w:gridSpan w:val="2"/>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年度资金总额　</w:t>
            </w:r>
          </w:p>
        </w:tc>
        <w:tc>
          <w:tcPr>
            <w:tcW w:w="1644" w:type="dxa"/>
            <w:vAlign w:val="center"/>
          </w:tcPr>
          <w:p>
            <w:pPr>
              <w:widowControl/>
              <w:jc w:val="center"/>
              <w:rPr>
                <w:rFonts w:ascii="Times New Roman" w:hAnsi="Times New Roman" w:eastAsia="仿宋_GB2312" w:cs="Times New Roman"/>
                <w:color w:val="000000"/>
                <w:kern w:val="0"/>
                <w:szCs w:val="21"/>
              </w:rPr>
            </w:pPr>
            <w:r>
              <w:rPr>
                <w:rFonts w:ascii="Times New Roman" w:hAnsi="Times New Roman" w:cs="Times New Roman"/>
                <w:color w:val="000000"/>
                <w:kern w:val="0"/>
                <w:szCs w:val="21"/>
              </w:rPr>
              <w:t>0</w:t>
            </w:r>
          </w:p>
        </w:tc>
        <w:tc>
          <w:tcPr>
            <w:tcW w:w="876" w:type="dxa"/>
            <w:vAlign w:val="center"/>
          </w:tcPr>
          <w:p>
            <w:pPr>
              <w:widowControl/>
              <w:jc w:val="center"/>
              <w:rPr>
                <w:rFonts w:ascii="Times New Roman" w:hAnsi="Times New Roman" w:eastAsia="仿宋_GB2312" w:cs="Times New Roman"/>
                <w:color w:val="000000"/>
                <w:kern w:val="0"/>
                <w:szCs w:val="21"/>
              </w:rPr>
            </w:pPr>
            <w:r>
              <w:rPr>
                <w:rFonts w:ascii="Times New Roman" w:hAnsi="Times New Roman" w:cs="Times New Roman"/>
                <w:color w:val="000000"/>
                <w:kern w:val="0"/>
                <w:szCs w:val="21"/>
              </w:rPr>
              <w:t>88.85</w:t>
            </w:r>
          </w:p>
        </w:tc>
        <w:tc>
          <w:tcPr>
            <w:tcW w:w="1455" w:type="dxa"/>
            <w:vAlign w:val="center"/>
          </w:tcPr>
          <w:p>
            <w:pPr>
              <w:widowControl/>
              <w:jc w:val="center"/>
              <w:rPr>
                <w:rFonts w:ascii="Times New Roman" w:hAnsi="Times New Roman" w:eastAsia="仿宋_GB2312" w:cs="Times New Roman"/>
                <w:color w:val="000000"/>
                <w:kern w:val="0"/>
                <w:szCs w:val="21"/>
              </w:rPr>
            </w:pPr>
            <w:r>
              <w:rPr>
                <w:rFonts w:ascii="Times New Roman" w:hAnsi="Times New Roman" w:cs="Times New Roman"/>
                <w:color w:val="000000"/>
                <w:kern w:val="0"/>
                <w:szCs w:val="21"/>
              </w:rPr>
              <w:t>88.85</w:t>
            </w:r>
          </w:p>
        </w:tc>
        <w:tc>
          <w:tcPr>
            <w:tcW w:w="855" w:type="dxa"/>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1</w:t>
            </w:r>
            <w:r>
              <w:rPr>
                <w:rFonts w:ascii="Times New Roman" w:hAnsi="Times New Roman" w:cs="Times New Roman"/>
                <w:color w:val="000000"/>
                <w:kern w:val="0"/>
                <w:szCs w:val="21"/>
              </w:rPr>
              <w:t>0分</w:t>
            </w:r>
          </w:p>
        </w:tc>
        <w:tc>
          <w:tcPr>
            <w:tcW w:w="783" w:type="dxa"/>
            <w:vAlign w:val="center"/>
          </w:tcPr>
          <w:p>
            <w:pPr>
              <w:widowControl/>
              <w:jc w:val="center"/>
              <w:rPr>
                <w:rFonts w:ascii="Times New Roman" w:hAnsi="Times New Roman" w:eastAsia="仿宋_GB2312" w:cs="Times New Roman"/>
                <w:color w:val="000000"/>
                <w:kern w:val="0"/>
                <w:szCs w:val="21"/>
              </w:rPr>
            </w:pPr>
            <w:r>
              <w:rPr>
                <w:rFonts w:ascii="Times New Roman" w:hAnsi="Times New Roman" w:cs="Times New Roman"/>
                <w:color w:val="000000"/>
                <w:kern w:val="0"/>
                <w:szCs w:val="21"/>
              </w:rPr>
              <w:t>100%</w:t>
            </w:r>
          </w:p>
        </w:tc>
        <w:tc>
          <w:tcPr>
            <w:tcW w:w="1418" w:type="dxa"/>
            <w:vAlign w:val="center"/>
          </w:tcPr>
          <w:p>
            <w:pPr>
              <w:widowControl/>
              <w:jc w:val="center"/>
              <w:rPr>
                <w:rFonts w:ascii="Times New Roman" w:hAnsi="Times New Roman" w:eastAsia="仿宋_GB2312" w:cs="Times New Roman"/>
                <w:color w:val="000000"/>
                <w:kern w:val="0"/>
                <w:szCs w:val="21"/>
              </w:rPr>
            </w:pPr>
            <w:r>
              <w:rPr>
                <w:rFonts w:ascii="Times New Roman" w:hAnsi="Times New Roman" w:cs="Times New Roman"/>
                <w:color w:val="000000"/>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vAlign w:val="center"/>
          </w:tcPr>
          <w:p>
            <w:pPr>
              <w:widowControl/>
              <w:jc w:val="left"/>
              <w:rPr>
                <w:rFonts w:ascii="Times New Roman" w:hAnsi="Times New Roman" w:eastAsia="仿宋_GB2312" w:cs="Times New Roman"/>
                <w:color w:val="000000"/>
                <w:kern w:val="0"/>
                <w:szCs w:val="21"/>
              </w:rPr>
            </w:pPr>
          </w:p>
        </w:tc>
        <w:tc>
          <w:tcPr>
            <w:tcW w:w="1740" w:type="dxa"/>
            <w:gridSpan w:val="2"/>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其中：当年财政拨款　</w:t>
            </w:r>
          </w:p>
        </w:tc>
        <w:tc>
          <w:tcPr>
            <w:tcW w:w="1644" w:type="dxa"/>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876" w:type="dxa"/>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1455" w:type="dxa"/>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855" w:type="dxa"/>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783" w:type="dxa"/>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1418" w:type="dxa"/>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vAlign w:val="center"/>
          </w:tcPr>
          <w:p>
            <w:pPr>
              <w:widowControl/>
              <w:jc w:val="left"/>
              <w:rPr>
                <w:rFonts w:ascii="Times New Roman" w:hAnsi="Times New Roman" w:eastAsia="仿宋_GB2312" w:cs="Times New Roman"/>
                <w:color w:val="000000"/>
                <w:kern w:val="0"/>
                <w:szCs w:val="21"/>
              </w:rPr>
            </w:pPr>
          </w:p>
        </w:tc>
        <w:tc>
          <w:tcPr>
            <w:tcW w:w="1740" w:type="dxa"/>
            <w:gridSpan w:val="2"/>
            <w:vAlign w:val="center"/>
          </w:tcPr>
          <w:p>
            <w:pPr>
              <w:widowControl/>
              <w:ind w:firstLine="630" w:firstLineChars="300"/>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上年结转资金　</w:t>
            </w:r>
          </w:p>
        </w:tc>
        <w:tc>
          <w:tcPr>
            <w:tcW w:w="1644" w:type="dxa"/>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876" w:type="dxa"/>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1455" w:type="dxa"/>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855" w:type="dxa"/>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783" w:type="dxa"/>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1418" w:type="dxa"/>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vAlign w:val="center"/>
          </w:tcPr>
          <w:p>
            <w:pPr>
              <w:widowControl/>
              <w:jc w:val="left"/>
              <w:rPr>
                <w:rFonts w:ascii="Times New Roman" w:hAnsi="Times New Roman" w:eastAsia="仿宋_GB2312" w:cs="Times New Roman"/>
                <w:color w:val="000000"/>
                <w:kern w:val="0"/>
                <w:szCs w:val="21"/>
              </w:rPr>
            </w:pPr>
          </w:p>
        </w:tc>
        <w:tc>
          <w:tcPr>
            <w:tcW w:w="1740" w:type="dxa"/>
            <w:gridSpan w:val="2"/>
            <w:vAlign w:val="center"/>
          </w:tcPr>
          <w:p>
            <w:pPr>
              <w:widowControl/>
              <w:ind w:firstLine="630" w:firstLineChars="300"/>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其他资金</w:t>
            </w:r>
          </w:p>
        </w:tc>
        <w:tc>
          <w:tcPr>
            <w:tcW w:w="1644" w:type="dxa"/>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876" w:type="dxa"/>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1455" w:type="dxa"/>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855" w:type="dxa"/>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783" w:type="dxa"/>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1418" w:type="dxa"/>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restart"/>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年度总体目标</w:t>
            </w:r>
          </w:p>
        </w:tc>
        <w:tc>
          <w:tcPr>
            <w:tcW w:w="4260" w:type="dxa"/>
            <w:gridSpan w:val="4"/>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预期目标</w:t>
            </w:r>
          </w:p>
        </w:tc>
        <w:tc>
          <w:tcPr>
            <w:tcW w:w="4511" w:type="dxa"/>
            <w:gridSpan w:val="4"/>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vAlign w:val="center"/>
          </w:tcPr>
          <w:p>
            <w:pPr>
              <w:widowControl/>
              <w:jc w:val="left"/>
              <w:rPr>
                <w:rFonts w:ascii="Times New Roman" w:hAnsi="Times New Roman" w:eastAsia="仿宋_GB2312" w:cs="Times New Roman"/>
                <w:color w:val="000000"/>
                <w:kern w:val="0"/>
                <w:szCs w:val="21"/>
              </w:rPr>
            </w:pPr>
          </w:p>
        </w:tc>
        <w:tc>
          <w:tcPr>
            <w:tcW w:w="4260" w:type="dxa"/>
            <w:gridSpan w:val="4"/>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通过开展青少年事业发展专项，加强青少年基层组织阵地建设，发展和保障青少年民生工作，开展青少年公益服务项目实施，维护和保障青少年合法权益等。　　</w:t>
            </w:r>
          </w:p>
        </w:tc>
        <w:tc>
          <w:tcPr>
            <w:tcW w:w="4511" w:type="dxa"/>
            <w:gridSpan w:val="4"/>
            <w:vAlign w:val="center"/>
          </w:tcPr>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在全市青少年开展了3.5学雷锋志愿服务月、缅怀先烈等系列活动3次。开展了志愿表彰活动。在“益阳共青团”官方微信公众号上发布文章300余篇。把宣传习近平新时代中国特色社会主义思想作为全年宣传思想文化工作的主线。利用重要时间节点，开展主题教育活动。强力推进“青年大学习”，推进“青年讲师团”工作，在全市开展各类宣讲。统筹推进团组织改革</w:t>
            </w:r>
            <w:r>
              <w:rPr>
                <w:rFonts w:ascii="Times New Roman" w:hAnsi="Times New Roman" w:cs="Times New Roman"/>
                <w:color w:val="000000"/>
                <w:kern w:val="0"/>
                <w:szCs w:val="21"/>
              </w:rPr>
              <w:t>,进一步加强共青团基层组织建设.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restart"/>
            <w:vAlign w:val="center"/>
          </w:tcPr>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绩</w:t>
            </w:r>
          </w:p>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效</w:t>
            </w:r>
          </w:p>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指</w:t>
            </w:r>
          </w:p>
          <w:p>
            <w:pPr>
              <w:widowControl/>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标</w:t>
            </w:r>
          </w:p>
          <w:p>
            <w:pPr>
              <w:widowControl/>
              <w:jc w:val="center"/>
              <w:rPr>
                <w:rFonts w:ascii="Times New Roman" w:hAnsi="Times New Roman" w:eastAsia="仿宋_GB2312" w:cs="Times New Roman"/>
                <w:color w:val="000000"/>
                <w:kern w:val="0"/>
                <w:szCs w:val="21"/>
              </w:rPr>
            </w:pPr>
          </w:p>
        </w:tc>
        <w:tc>
          <w:tcPr>
            <w:tcW w:w="735" w:type="dxa"/>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一级指标</w:t>
            </w:r>
          </w:p>
        </w:tc>
        <w:tc>
          <w:tcPr>
            <w:tcW w:w="1005" w:type="dxa"/>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二级指标</w:t>
            </w:r>
          </w:p>
        </w:tc>
        <w:tc>
          <w:tcPr>
            <w:tcW w:w="1644" w:type="dxa"/>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三级指标</w:t>
            </w:r>
          </w:p>
        </w:tc>
        <w:tc>
          <w:tcPr>
            <w:tcW w:w="876" w:type="dxa"/>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年度</w:t>
            </w:r>
          </w:p>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指标值</w:t>
            </w:r>
          </w:p>
        </w:tc>
        <w:tc>
          <w:tcPr>
            <w:tcW w:w="1455" w:type="dxa"/>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实际</w:t>
            </w:r>
          </w:p>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完成值</w:t>
            </w:r>
          </w:p>
        </w:tc>
        <w:tc>
          <w:tcPr>
            <w:tcW w:w="855" w:type="dxa"/>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分值</w:t>
            </w:r>
          </w:p>
        </w:tc>
        <w:tc>
          <w:tcPr>
            <w:tcW w:w="783" w:type="dxa"/>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得分</w:t>
            </w:r>
          </w:p>
        </w:tc>
        <w:tc>
          <w:tcPr>
            <w:tcW w:w="1418" w:type="dxa"/>
            <w:vAlign w:val="center"/>
          </w:tcPr>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偏差原因</w:t>
            </w:r>
          </w:p>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分析及</w:t>
            </w:r>
          </w:p>
          <w:p>
            <w:pPr>
              <w:widowControl/>
              <w:spacing w:line="24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vAlign w:val="center"/>
          </w:tcPr>
          <w:p>
            <w:pPr>
              <w:spacing w:line="280" w:lineRule="exact"/>
              <w:jc w:val="left"/>
              <w:rPr>
                <w:rFonts w:ascii="Times New Roman" w:hAnsi="Times New Roman" w:eastAsia="仿宋_GB2312" w:cs="Times New Roman"/>
                <w:color w:val="000000"/>
                <w:kern w:val="0"/>
                <w:szCs w:val="21"/>
              </w:rPr>
            </w:pPr>
          </w:p>
        </w:tc>
        <w:tc>
          <w:tcPr>
            <w:tcW w:w="735" w:type="dxa"/>
            <w:vMerge w:val="restart"/>
            <w:vAlign w:val="center"/>
          </w:tcPr>
          <w:p>
            <w:pPr>
              <w:widowControl/>
              <w:spacing w:line="28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产出指标</w:t>
            </w:r>
          </w:p>
          <w:p>
            <w:pPr>
              <w:widowControl/>
              <w:spacing w:line="280" w:lineRule="exact"/>
              <w:jc w:val="center"/>
              <w:rPr>
                <w:rFonts w:ascii="Times New Roman" w:hAnsi="Times New Roman" w:eastAsia="仿宋_GB2312" w:cs="Times New Roman"/>
                <w:color w:val="000000"/>
                <w:kern w:val="0"/>
                <w:szCs w:val="21"/>
              </w:rPr>
            </w:pPr>
          </w:p>
          <w:p>
            <w:pPr>
              <w:widowControl/>
              <w:spacing w:line="28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(50分)</w:t>
            </w:r>
          </w:p>
        </w:tc>
        <w:tc>
          <w:tcPr>
            <w:tcW w:w="1005" w:type="dxa"/>
            <w:vMerge w:val="restart"/>
            <w:vAlign w:val="center"/>
          </w:tcPr>
          <w:p>
            <w:pPr>
              <w:widowControl/>
              <w:spacing w:line="28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数量指标</w:t>
            </w:r>
          </w:p>
        </w:tc>
        <w:tc>
          <w:tcPr>
            <w:tcW w:w="1644" w:type="dxa"/>
            <w:vAlign w:val="center"/>
          </w:tcPr>
          <w:p>
            <w:pPr>
              <w:widowControl/>
              <w:spacing w:line="28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指标1：</w:t>
            </w:r>
            <w:r>
              <w:rPr>
                <w:rFonts w:ascii="Times New Roman" w:hAnsi="Times New Roman" w:cs="Times New Roman"/>
                <w:color w:val="000000"/>
                <w:kern w:val="0"/>
                <w:szCs w:val="21"/>
              </w:rPr>
              <w:t>开展</w:t>
            </w:r>
            <w:r>
              <w:rPr>
                <w:rFonts w:ascii="Times New Roman" w:hAnsi="Times New Roman" w:eastAsia="仿宋_GB2312" w:cs="Times New Roman"/>
                <w:color w:val="000000"/>
                <w:kern w:val="0"/>
                <w:szCs w:val="21"/>
              </w:rPr>
              <w:t>志愿服务表彰活动</w:t>
            </w:r>
          </w:p>
        </w:tc>
        <w:tc>
          <w:tcPr>
            <w:tcW w:w="876" w:type="dxa"/>
            <w:vAlign w:val="center"/>
          </w:tcPr>
          <w:p>
            <w:pPr>
              <w:widowControl/>
              <w:spacing w:line="280" w:lineRule="exact"/>
              <w:jc w:val="center"/>
              <w:rPr>
                <w:rFonts w:ascii="Times New Roman" w:hAnsi="Times New Roman" w:eastAsia="仿宋_GB2312" w:cs="Times New Roman"/>
                <w:color w:val="000000"/>
                <w:kern w:val="0"/>
                <w:szCs w:val="21"/>
              </w:rPr>
            </w:pPr>
            <w:r>
              <w:rPr>
                <w:rFonts w:ascii="Times New Roman" w:hAnsi="Times New Roman" w:cs="Times New Roman"/>
                <w:color w:val="000000"/>
                <w:kern w:val="0"/>
                <w:szCs w:val="21"/>
              </w:rPr>
              <w:t>1次</w:t>
            </w:r>
          </w:p>
        </w:tc>
        <w:tc>
          <w:tcPr>
            <w:tcW w:w="1455" w:type="dxa"/>
            <w:vAlign w:val="center"/>
          </w:tcPr>
          <w:p>
            <w:pPr>
              <w:widowControl/>
              <w:spacing w:line="280" w:lineRule="exact"/>
              <w:jc w:val="center"/>
              <w:rPr>
                <w:rFonts w:ascii="Times New Roman" w:hAnsi="Times New Roman" w:eastAsia="仿宋_GB2312" w:cs="Times New Roman"/>
                <w:color w:val="000000"/>
                <w:kern w:val="0"/>
                <w:szCs w:val="21"/>
              </w:rPr>
            </w:pPr>
            <w:r>
              <w:rPr>
                <w:rFonts w:ascii="Times New Roman" w:hAnsi="Times New Roman" w:cs="Times New Roman"/>
                <w:color w:val="000000"/>
                <w:kern w:val="0"/>
                <w:szCs w:val="21"/>
              </w:rPr>
              <w:t>1次</w:t>
            </w:r>
          </w:p>
        </w:tc>
        <w:tc>
          <w:tcPr>
            <w:tcW w:w="855" w:type="dxa"/>
            <w:vAlign w:val="center"/>
          </w:tcPr>
          <w:p>
            <w:pPr>
              <w:widowControl/>
              <w:spacing w:line="28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r>
              <w:rPr>
                <w:rFonts w:ascii="Times New Roman" w:hAnsi="Times New Roman" w:cs="Times New Roman"/>
                <w:color w:val="000000"/>
                <w:kern w:val="0"/>
                <w:szCs w:val="21"/>
              </w:rPr>
              <w:t>10</w:t>
            </w:r>
          </w:p>
        </w:tc>
        <w:tc>
          <w:tcPr>
            <w:tcW w:w="783" w:type="dxa"/>
            <w:vAlign w:val="center"/>
          </w:tcPr>
          <w:p>
            <w:pPr>
              <w:widowControl/>
              <w:spacing w:line="280" w:lineRule="exact"/>
              <w:jc w:val="center"/>
              <w:rPr>
                <w:rFonts w:ascii="Times New Roman" w:hAnsi="Times New Roman" w:eastAsia="仿宋_GB2312" w:cs="Times New Roman"/>
                <w:color w:val="000000"/>
                <w:kern w:val="0"/>
                <w:szCs w:val="21"/>
              </w:rPr>
            </w:pPr>
            <w:r>
              <w:rPr>
                <w:rFonts w:ascii="Times New Roman" w:hAnsi="Times New Roman" w:cs="Times New Roman"/>
                <w:color w:val="000000"/>
                <w:kern w:val="0"/>
                <w:szCs w:val="21"/>
              </w:rPr>
              <w:t>10</w:t>
            </w:r>
          </w:p>
        </w:tc>
        <w:tc>
          <w:tcPr>
            <w:tcW w:w="1418" w:type="dxa"/>
            <w:vAlign w:val="center"/>
          </w:tcPr>
          <w:p>
            <w:pPr>
              <w:widowControl/>
              <w:spacing w:line="28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vAlign w:val="center"/>
          </w:tcPr>
          <w:p>
            <w:pPr>
              <w:spacing w:line="280" w:lineRule="exact"/>
              <w:jc w:val="left"/>
              <w:rPr>
                <w:rFonts w:ascii="Times New Roman" w:hAnsi="Times New Roman" w:eastAsia="仿宋_GB2312" w:cs="Times New Roman"/>
                <w:color w:val="000000"/>
                <w:kern w:val="0"/>
                <w:szCs w:val="21"/>
              </w:rPr>
            </w:pPr>
          </w:p>
        </w:tc>
        <w:tc>
          <w:tcPr>
            <w:tcW w:w="735" w:type="dxa"/>
            <w:vMerge w:val="continue"/>
            <w:vAlign w:val="center"/>
          </w:tcPr>
          <w:p>
            <w:pPr>
              <w:widowControl/>
              <w:spacing w:line="280" w:lineRule="exact"/>
              <w:jc w:val="left"/>
              <w:rPr>
                <w:rFonts w:ascii="Times New Roman" w:hAnsi="Times New Roman" w:eastAsia="仿宋_GB2312" w:cs="Times New Roman"/>
                <w:color w:val="000000"/>
                <w:kern w:val="0"/>
                <w:szCs w:val="21"/>
              </w:rPr>
            </w:pPr>
          </w:p>
        </w:tc>
        <w:tc>
          <w:tcPr>
            <w:tcW w:w="1005" w:type="dxa"/>
            <w:vMerge w:val="continue"/>
            <w:vAlign w:val="center"/>
          </w:tcPr>
          <w:p>
            <w:pPr>
              <w:widowControl/>
              <w:spacing w:line="280" w:lineRule="exact"/>
              <w:jc w:val="center"/>
              <w:rPr>
                <w:rFonts w:ascii="Times New Roman" w:hAnsi="Times New Roman" w:eastAsia="仿宋_GB2312" w:cs="Times New Roman"/>
                <w:color w:val="000000"/>
                <w:kern w:val="0"/>
                <w:szCs w:val="21"/>
              </w:rPr>
            </w:pPr>
          </w:p>
        </w:tc>
        <w:tc>
          <w:tcPr>
            <w:tcW w:w="1644" w:type="dxa"/>
            <w:vAlign w:val="center"/>
          </w:tcPr>
          <w:p>
            <w:pPr>
              <w:widowControl/>
              <w:spacing w:line="28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指标2：在“益阳共青团”官方微信公众号上发布文章</w:t>
            </w:r>
          </w:p>
        </w:tc>
        <w:tc>
          <w:tcPr>
            <w:tcW w:w="876" w:type="dxa"/>
            <w:vAlign w:val="center"/>
          </w:tcPr>
          <w:p>
            <w:pPr>
              <w:widowControl/>
              <w:spacing w:line="280" w:lineRule="exact"/>
              <w:jc w:val="center"/>
              <w:rPr>
                <w:rFonts w:ascii="Times New Roman" w:hAnsi="Times New Roman" w:eastAsia="仿宋_GB2312" w:cs="Times New Roman"/>
                <w:color w:val="000000"/>
                <w:kern w:val="0"/>
                <w:szCs w:val="21"/>
              </w:rPr>
            </w:pPr>
            <w:r>
              <w:rPr>
                <w:rFonts w:ascii="Times New Roman" w:hAnsi="Times New Roman" w:cs="Times New Roman"/>
                <w:color w:val="000000"/>
                <w:kern w:val="0"/>
                <w:szCs w:val="21"/>
              </w:rPr>
              <w:t>150篇</w:t>
            </w:r>
          </w:p>
        </w:tc>
        <w:tc>
          <w:tcPr>
            <w:tcW w:w="1455" w:type="dxa"/>
            <w:vAlign w:val="center"/>
          </w:tcPr>
          <w:p>
            <w:pPr>
              <w:widowControl/>
              <w:spacing w:line="280" w:lineRule="exact"/>
              <w:jc w:val="center"/>
              <w:rPr>
                <w:rFonts w:ascii="Times New Roman" w:hAnsi="Times New Roman" w:eastAsia="仿宋_GB2312" w:cs="Times New Roman"/>
                <w:color w:val="000000"/>
                <w:kern w:val="0"/>
                <w:szCs w:val="21"/>
              </w:rPr>
            </w:pPr>
            <w:r>
              <w:rPr>
                <w:rFonts w:ascii="Times New Roman" w:hAnsi="Times New Roman" w:cs="Times New Roman"/>
                <w:color w:val="000000"/>
                <w:kern w:val="0"/>
                <w:szCs w:val="21"/>
              </w:rPr>
              <w:t>330篇</w:t>
            </w:r>
          </w:p>
        </w:tc>
        <w:tc>
          <w:tcPr>
            <w:tcW w:w="855" w:type="dxa"/>
            <w:vAlign w:val="center"/>
          </w:tcPr>
          <w:p>
            <w:pPr>
              <w:widowControl/>
              <w:spacing w:line="28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r>
              <w:rPr>
                <w:rFonts w:ascii="Times New Roman" w:hAnsi="Times New Roman" w:cs="Times New Roman"/>
                <w:color w:val="000000"/>
                <w:kern w:val="0"/>
                <w:szCs w:val="21"/>
              </w:rPr>
              <w:t>10</w:t>
            </w:r>
          </w:p>
        </w:tc>
        <w:tc>
          <w:tcPr>
            <w:tcW w:w="783" w:type="dxa"/>
            <w:vAlign w:val="center"/>
          </w:tcPr>
          <w:p>
            <w:pPr>
              <w:widowControl/>
              <w:spacing w:line="280" w:lineRule="exact"/>
              <w:jc w:val="center"/>
              <w:rPr>
                <w:rFonts w:ascii="Times New Roman" w:hAnsi="Times New Roman" w:eastAsia="仿宋_GB2312" w:cs="Times New Roman"/>
                <w:color w:val="000000"/>
                <w:kern w:val="0"/>
                <w:szCs w:val="21"/>
              </w:rPr>
            </w:pPr>
            <w:r>
              <w:rPr>
                <w:rFonts w:ascii="Times New Roman" w:hAnsi="Times New Roman" w:cs="Times New Roman"/>
                <w:color w:val="000000"/>
                <w:kern w:val="0"/>
                <w:szCs w:val="21"/>
              </w:rPr>
              <w:t>10</w:t>
            </w:r>
          </w:p>
        </w:tc>
        <w:tc>
          <w:tcPr>
            <w:tcW w:w="1418" w:type="dxa"/>
            <w:vAlign w:val="center"/>
          </w:tcPr>
          <w:p>
            <w:pPr>
              <w:widowControl/>
              <w:spacing w:line="28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080" w:type="dxa"/>
            <w:vMerge w:val="continue"/>
            <w:vAlign w:val="center"/>
          </w:tcPr>
          <w:p>
            <w:pPr>
              <w:spacing w:line="280" w:lineRule="exact"/>
              <w:jc w:val="left"/>
              <w:rPr>
                <w:rFonts w:ascii="Times New Roman" w:hAnsi="Times New Roman" w:eastAsia="仿宋_GB2312" w:cs="Times New Roman"/>
                <w:color w:val="000000"/>
                <w:kern w:val="0"/>
                <w:szCs w:val="21"/>
              </w:rPr>
            </w:pPr>
          </w:p>
        </w:tc>
        <w:tc>
          <w:tcPr>
            <w:tcW w:w="735" w:type="dxa"/>
            <w:vMerge w:val="continue"/>
            <w:vAlign w:val="center"/>
          </w:tcPr>
          <w:p>
            <w:pPr>
              <w:widowControl/>
              <w:spacing w:line="280" w:lineRule="exact"/>
              <w:jc w:val="left"/>
              <w:rPr>
                <w:rFonts w:ascii="Times New Roman" w:hAnsi="Times New Roman" w:eastAsia="仿宋_GB2312" w:cs="Times New Roman"/>
                <w:color w:val="000000"/>
                <w:kern w:val="0"/>
                <w:szCs w:val="21"/>
              </w:rPr>
            </w:pPr>
          </w:p>
        </w:tc>
        <w:tc>
          <w:tcPr>
            <w:tcW w:w="1005" w:type="dxa"/>
            <w:vMerge w:val="continue"/>
            <w:vAlign w:val="center"/>
          </w:tcPr>
          <w:p>
            <w:pPr>
              <w:widowControl/>
              <w:spacing w:line="280" w:lineRule="exact"/>
              <w:jc w:val="center"/>
              <w:rPr>
                <w:rFonts w:ascii="Times New Roman" w:hAnsi="Times New Roman" w:eastAsia="仿宋_GB2312" w:cs="Times New Roman"/>
                <w:color w:val="000000"/>
                <w:kern w:val="0"/>
                <w:szCs w:val="21"/>
              </w:rPr>
            </w:pPr>
          </w:p>
        </w:tc>
        <w:tc>
          <w:tcPr>
            <w:tcW w:w="1644" w:type="dxa"/>
            <w:vAlign w:val="center"/>
          </w:tcPr>
          <w:p>
            <w:pPr>
              <w:widowControl/>
              <w:spacing w:line="280" w:lineRule="exact"/>
              <w:jc w:val="left"/>
              <w:rPr>
                <w:rFonts w:ascii="Times New Roman" w:hAnsi="Times New Roman" w:eastAsia="仿宋_GB2312" w:cs="Times New Roman"/>
                <w:color w:val="000000"/>
                <w:kern w:val="0"/>
                <w:szCs w:val="21"/>
              </w:rPr>
            </w:pPr>
            <w:r>
              <w:rPr>
                <w:rFonts w:ascii="Times New Roman" w:hAnsi="Times New Roman" w:cs="Times New Roman"/>
                <w:color w:val="000000"/>
                <w:kern w:val="0"/>
                <w:szCs w:val="21"/>
              </w:rPr>
              <w:t>指标3：</w:t>
            </w:r>
            <w:r>
              <w:rPr>
                <w:rFonts w:ascii="Times New Roman" w:hAnsi="Times New Roman" w:eastAsia="仿宋_GB2312" w:cs="Times New Roman"/>
                <w:color w:val="000000"/>
                <w:kern w:val="0"/>
                <w:szCs w:val="21"/>
              </w:rPr>
              <w:t>建团100周年活动</w:t>
            </w:r>
          </w:p>
        </w:tc>
        <w:tc>
          <w:tcPr>
            <w:tcW w:w="876" w:type="dxa"/>
            <w:vAlign w:val="center"/>
          </w:tcPr>
          <w:p>
            <w:pPr>
              <w:widowControl/>
              <w:spacing w:line="280" w:lineRule="exact"/>
              <w:jc w:val="center"/>
              <w:rPr>
                <w:rFonts w:ascii="Times New Roman" w:hAnsi="Times New Roman" w:eastAsia="仿宋_GB2312" w:cs="Times New Roman"/>
                <w:color w:val="000000"/>
                <w:kern w:val="0"/>
                <w:szCs w:val="21"/>
              </w:rPr>
            </w:pPr>
            <w:r>
              <w:rPr>
                <w:rFonts w:ascii="Times New Roman" w:hAnsi="Times New Roman" w:cs="Times New Roman"/>
                <w:color w:val="000000"/>
                <w:kern w:val="0"/>
                <w:szCs w:val="21"/>
              </w:rPr>
              <w:t>2次</w:t>
            </w:r>
          </w:p>
        </w:tc>
        <w:tc>
          <w:tcPr>
            <w:tcW w:w="1455" w:type="dxa"/>
            <w:vAlign w:val="center"/>
          </w:tcPr>
          <w:p>
            <w:pPr>
              <w:widowControl/>
              <w:spacing w:line="280" w:lineRule="exact"/>
              <w:jc w:val="center"/>
              <w:rPr>
                <w:rFonts w:ascii="Times New Roman" w:hAnsi="Times New Roman" w:eastAsia="仿宋_GB2312" w:cs="Times New Roman"/>
                <w:color w:val="000000"/>
                <w:kern w:val="0"/>
                <w:szCs w:val="21"/>
              </w:rPr>
            </w:pPr>
            <w:r>
              <w:rPr>
                <w:rFonts w:ascii="Times New Roman" w:hAnsi="Times New Roman" w:cs="Times New Roman"/>
                <w:color w:val="000000"/>
                <w:kern w:val="0"/>
                <w:szCs w:val="21"/>
              </w:rPr>
              <w:t>2次</w:t>
            </w:r>
          </w:p>
        </w:tc>
        <w:tc>
          <w:tcPr>
            <w:tcW w:w="855" w:type="dxa"/>
            <w:vAlign w:val="center"/>
          </w:tcPr>
          <w:p>
            <w:pPr>
              <w:widowControl/>
              <w:spacing w:line="28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r>
              <w:rPr>
                <w:rFonts w:ascii="Times New Roman" w:hAnsi="Times New Roman" w:cs="Times New Roman"/>
                <w:color w:val="000000"/>
                <w:kern w:val="0"/>
                <w:szCs w:val="21"/>
              </w:rPr>
              <w:t>10</w:t>
            </w:r>
          </w:p>
        </w:tc>
        <w:tc>
          <w:tcPr>
            <w:tcW w:w="783" w:type="dxa"/>
            <w:vAlign w:val="center"/>
          </w:tcPr>
          <w:p>
            <w:pPr>
              <w:widowControl/>
              <w:spacing w:line="280" w:lineRule="exact"/>
              <w:jc w:val="center"/>
              <w:rPr>
                <w:rFonts w:ascii="Times New Roman" w:hAnsi="Times New Roman" w:eastAsia="仿宋_GB2312" w:cs="Times New Roman"/>
                <w:color w:val="000000"/>
                <w:kern w:val="0"/>
                <w:szCs w:val="21"/>
              </w:rPr>
            </w:pPr>
            <w:r>
              <w:rPr>
                <w:rFonts w:ascii="Times New Roman" w:hAnsi="Times New Roman" w:cs="Times New Roman"/>
                <w:color w:val="000000"/>
                <w:kern w:val="0"/>
                <w:szCs w:val="21"/>
              </w:rPr>
              <w:t>10</w:t>
            </w:r>
          </w:p>
        </w:tc>
        <w:tc>
          <w:tcPr>
            <w:tcW w:w="1418" w:type="dxa"/>
            <w:vAlign w:val="center"/>
          </w:tcPr>
          <w:p>
            <w:pPr>
              <w:widowControl/>
              <w:spacing w:line="28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vAlign w:val="center"/>
          </w:tcPr>
          <w:p>
            <w:pPr>
              <w:spacing w:line="280" w:lineRule="exact"/>
              <w:jc w:val="left"/>
              <w:rPr>
                <w:rFonts w:ascii="Times New Roman" w:hAnsi="Times New Roman" w:eastAsia="仿宋_GB2312" w:cs="Times New Roman"/>
                <w:color w:val="000000"/>
                <w:kern w:val="0"/>
                <w:szCs w:val="21"/>
              </w:rPr>
            </w:pPr>
          </w:p>
        </w:tc>
        <w:tc>
          <w:tcPr>
            <w:tcW w:w="735" w:type="dxa"/>
            <w:vMerge w:val="continue"/>
            <w:vAlign w:val="center"/>
          </w:tcPr>
          <w:p>
            <w:pPr>
              <w:widowControl/>
              <w:spacing w:line="280" w:lineRule="exact"/>
              <w:jc w:val="left"/>
              <w:rPr>
                <w:rFonts w:ascii="Times New Roman" w:hAnsi="Times New Roman" w:eastAsia="仿宋_GB2312" w:cs="Times New Roman"/>
                <w:color w:val="000000"/>
                <w:kern w:val="0"/>
                <w:szCs w:val="21"/>
              </w:rPr>
            </w:pPr>
          </w:p>
        </w:tc>
        <w:tc>
          <w:tcPr>
            <w:tcW w:w="1005" w:type="dxa"/>
            <w:vMerge w:val="restart"/>
            <w:vAlign w:val="center"/>
          </w:tcPr>
          <w:p>
            <w:pPr>
              <w:widowControl/>
              <w:spacing w:line="28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质量指标</w:t>
            </w:r>
          </w:p>
        </w:tc>
        <w:tc>
          <w:tcPr>
            <w:tcW w:w="1644" w:type="dxa"/>
            <w:vAlign w:val="center"/>
          </w:tcPr>
          <w:p>
            <w:pPr>
              <w:widowControl/>
              <w:spacing w:line="28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指标1：统筹推进团组织改革</w:t>
            </w:r>
          </w:p>
        </w:tc>
        <w:tc>
          <w:tcPr>
            <w:tcW w:w="876" w:type="dxa"/>
            <w:vAlign w:val="center"/>
          </w:tcPr>
          <w:p>
            <w:pPr>
              <w:widowControl/>
              <w:spacing w:line="28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全面</w:t>
            </w:r>
          </w:p>
        </w:tc>
        <w:tc>
          <w:tcPr>
            <w:tcW w:w="1455" w:type="dxa"/>
            <w:vAlign w:val="center"/>
          </w:tcPr>
          <w:p>
            <w:pPr>
              <w:widowControl/>
              <w:spacing w:line="28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丰富创新团的基层组织形态，加大团教协作力度，抓好团队衔接、学社衔接、党团衔接，着力加强团员先进性建设。</w:t>
            </w:r>
          </w:p>
        </w:tc>
        <w:tc>
          <w:tcPr>
            <w:tcW w:w="855" w:type="dxa"/>
            <w:vAlign w:val="center"/>
          </w:tcPr>
          <w:p>
            <w:pPr>
              <w:widowControl/>
              <w:spacing w:line="28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r>
              <w:rPr>
                <w:rFonts w:ascii="Times New Roman" w:hAnsi="Times New Roman" w:cs="Times New Roman"/>
                <w:color w:val="000000"/>
                <w:kern w:val="0"/>
                <w:szCs w:val="21"/>
              </w:rPr>
              <w:t>10</w:t>
            </w:r>
          </w:p>
        </w:tc>
        <w:tc>
          <w:tcPr>
            <w:tcW w:w="783" w:type="dxa"/>
            <w:vAlign w:val="center"/>
          </w:tcPr>
          <w:p>
            <w:pPr>
              <w:widowControl/>
              <w:spacing w:line="280" w:lineRule="exact"/>
              <w:jc w:val="center"/>
              <w:rPr>
                <w:rFonts w:ascii="Times New Roman" w:hAnsi="Times New Roman" w:eastAsia="仿宋_GB2312" w:cs="Times New Roman"/>
                <w:color w:val="000000"/>
                <w:kern w:val="0"/>
                <w:szCs w:val="21"/>
              </w:rPr>
            </w:pPr>
            <w:r>
              <w:rPr>
                <w:rFonts w:ascii="Times New Roman" w:hAnsi="Times New Roman" w:cs="Times New Roman"/>
                <w:color w:val="000000"/>
                <w:kern w:val="0"/>
                <w:szCs w:val="21"/>
              </w:rPr>
              <w:t>9</w:t>
            </w:r>
          </w:p>
        </w:tc>
        <w:tc>
          <w:tcPr>
            <w:tcW w:w="1418" w:type="dxa"/>
            <w:vAlign w:val="center"/>
          </w:tcPr>
          <w:p>
            <w:pPr>
              <w:widowControl/>
              <w:spacing w:line="28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团组织的覆盖面还不够广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vAlign w:val="center"/>
          </w:tcPr>
          <w:p>
            <w:pPr>
              <w:spacing w:line="280" w:lineRule="exact"/>
              <w:jc w:val="left"/>
              <w:rPr>
                <w:rFonts w:ascii="Times New Roman" w:hAnsi="Times New Roman" w:eastAsia="仿宋_GB2312" w:cs="Times New Roman"/>
                <w:color w:val="000000"/>
                <w:kern w:val="0"/>
                <w:szCs w:val="21"/>
              </w:rPr>
            </w:pPr>
          </w:p>
        </w:tc>
        <w:tc>
          <w:tcPr>
            <w:tcW w:w="735" w:type="dxa"/>
            <w:vMerge w:val="continue"/>
            <w:vAlign w:val="center"/>
          </w:tcPr>
          <w:p>
            <w:pPr>
              <w:widowControl/>
              <w:spacing w:line="280" w:lineRule="exact"/>
              <w:jc w:val="left"/>
              <w:rPr>
                <w:rFonts w:ascii="Times New Roman" w:hAnsi="Times New Roman" w:eastAsia="仿宋_GB2312" w:cs="Times New Roman"/>
                <w:color w:val="000000"/>
                <w:kern w:val="0"/>
                <w:szCs w:val="21"/>
              </w:rPr>
            </w:pPr>
          </w:p>
        </w:tc>
        <w:tc>
          <w:tcPr>
            <w:tcW w:w="1005" w:type="dxa"/>
            <w:vMerge w:val="continue"/>
            <w:vAlign w:val="center"/>
          </w:tcPr>
          <w:p>
            <w:pPr>
              <w:widowControl/>
              <w:spacing w:line="280" w:lineRule="exact"/>
              <w:jc w:val="center"/>
              <w:rPr>
                <w:rFonts w:ascii="Times New Roman" w:hAnsi="Times New Roman" w:eastAsia="仿宋_GB2312" w:cs="Times New Roman"/>
                <w:color w:val="000000"/>
                <w:kern w:val="0"/>
                <w:szCs w:val="21"/>
              </w:rPr>
            </w:pPr>
          </w:p>
        </w:tc>
        <w:tc>
          <w:tcPr>
            <w:tcW w:w="1644" w:type="dxa"/>
            <w:vAlign w:val="center"/>
          </w:tcPr>
          <w:p>
            <w:pPr>
              <w:widowControl/>
              <w:spacing w:line="28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指标2：</w:t>
            </w:r>
          </w:p>
        </w:tc>
        <w:tc>
          <w:tcPr>
            <w:tcW w:w="876" w:type="dxa"/>
            <w:vAlign w:val="center"/>
          </w:tcPr>
          <w:p>
            <w:pPr>
              <w:widowControl/>
              <w:spacing w:line="28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1455" w:type="dxa"/>
            <w:vAlign w:val="center"/>
          </w:tcPr>
          <w:p>
            <w:pPr>
              <w:widowControl/>
              <w:spacing w:line="28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855" w:type="dxa"/>
            <w:vAlign w:val="center"/>
          </w:tcPr>
          <w:p>
            <w:pPr>
              <w:widowControl/>
              <w:spacing w:line="28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783" w:type="dxa"/>
            <w:vAlign w:val="center"/>
          </w:tcPr>
          <w:p>
            <w:pPr>
              <w:widowControl/>
              <w:spacing w:line="28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1418" w:type="dxa"/>
            <w:vAlign w:val="center"/>
          </w:tcPr>
          <w:p>
            <w:pPr>
              <w:widowControl/>
              <w:spacing w:line="28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vAlign w:val="center"/>
          </w:tcPr>
          <w:p>
            <w:pPr>
              <w:spacing w:line="280" w:lineRule="exact"/>
              <w:jc w:val="left"/>
              <w:rPr>
                <w:rFonts w:ascii="Times New Roman" w:hAnsi="Times New Roman" w:eastAsia="仿宋_GB2312" w:cs="Times New Roman"/>
                <w:color w:val="000000"/>
                <w:kern w:val="0"/>
                <w:szCs w:val="21"/>
              </w:rPr>
            </w:pPr>
          </w:p>
        </w:tc>
        <w:tc>
          <w:tcPr>
            <w:tcW w:w="735" w:type="dxa"/>
            <w:vMerge w:val="continue"/>
            <w:vAlign w:val="center"/>
          </w:tcPr>
          <w:p>
            <w:pPr>
              <w:widowControl/>
              <w:spacing w:line="280" w:lineRule="exact"/>
              <w:jc w:val="left"/>
              <w:rPr>
                <w:rFonts w:ascii="Times New Roman" w:hAnsi="Times New Roman" w:eastAsia="仿宋_GB2312" w:cs="Times New Roman"/>
                <w:color w:val="000000"/>
                <w:kern w:val="0"/>
                <w:szCs w:val="21"/>
              </w:rPr>
            </w:pPr>
          </w:p>
        </w:tc>
        <w:tc>
          <w:tcPr>
            <w:tcW w:w="1005" w:type="dxa"/>
            <w:vMerge w:val="continue"/>
            <w:vAlign w:val="center"/>
          </w:tcPr>
          <w:p>
            <w:pPr>
              <w:widowControl/>
              <w:spacing w:line="280" w:lineRule="exact"/>
              <w:jc w:val="center"/>
              <w:rPr>
                <w:rFonts w:ascii="Times New Roman" w:hAnsi="Times New Roman" w:eastAsia="仿宋_GB2312" w:cs="Times New Roman"/>
                <w:color w:val="000000"/>
                <w:kern w:val="0"/>
                <w:szCs w:val="21"/>
              </w:rPr>
            </w:pPr>
          </w:p>
        </w:tc>
        <w:tc>
          <w:tcPr>
            <w:tcW w:w="1644" w:type="dxa"/>
            <w:vAlign w:val="center"/>
          </w:tcPr>
          <w:p>
            <w:pPr>
              <w:widowControl/>
              <w:spacing w:line="28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w:t>
            </w:r>
          </w:p>
        </w:tc>
        <w:tc>
          <w:tcPr>
            <w:tcW w:w="876" w:type="dxa"/>
            <w:vAlign w:val="center"/>
          </w:tcPr>
          <w:p>
            <w:pPr>
              <w:widowControl/>
              <w:spacing w:line="28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1455" w:type="dxa"/>
            <w:vAlign w:val="center"/>
          </w:tcPr>
          <w:p>
            <w:pPr>
              <w:widowControl/>
              <w:spacing w:line="28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855" w:type="dxa"/>
            <w:vAlign w:val="center"/>
          </w:tcPr>
          <w:p>
            <w:pPr>
              <w:widowControl/>
              <w:spacing w:line="28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783" w:type="dxa"/>
            <w:vAlign w:val="center"/>
          </w:tcPr>
          <w:p>
            <w:pPr>
              <w:widowControl/>
              <w:spacing w:line="28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1418" w:type="dxa"/>
            <w:vAlign w:val="center"/>
          </w:tcPr>
          <w:p>
            <w:pPr>
              <w:widowControl/>
              <w:spacing w:line="28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vAlign w:val="center"/>
          </w:tcPr>
          <w:p>
            <w:pPr>
              <w:spacing w:line="280" w:lineRule="exact"/>
              <w:jc w:val="left"/>
              <w:rPr>
                <w:rFonts w:ascii="Times New Roman" w:hAnsi="Times New Roman" w:eastAsia="仿宋_GB2312" w:cs="Times New Roman"/>
                <w:color w:val="000000"/>
                <w:kern w:val="0"/>
                <w:szCs w:val="21"/>
              </w:rPr>
            </w:pPr>
          </w:p>
        </w:tc>
        <w:tc>
          <w:tcPr>
            <w:tcW w:w="735" w:type="dxa"/>
            <w:vMerge w:val="continue"/>
            <w:vAlign w:val="center"/>
          </w:tcPr>
          <w:p>
            <w:pPr>
              <w:widowControl/>
              <w:spacing w:line="280" w:lineRule="exact"/>
              <w:jc w:val="left"/>
              <w:rPr>
                <w:rFonts w:ascii="Times New Roman" w:hAnsi="Times New Roman" w:eastAsia="仿宋_GB2312" w:cs="Times New Roman"/>
                <w:color w:val="000000"/>
                <w:kern w:val="0"/>
                <w:szCs w:val="21"/>
              </w:rPr>
            </w:pPr>
          </w:p>
        </w:tc>
        <w:tc>
          <w:tcPr>
            <w:tcW w:w="1005" w:type="dxa"/>
            <w:vMerge w:val="restart"/>
            <w:vAlign w:val="center"/>
          </w:tcPr>
          <w:p>
            <w:pPr>
              <w:widowControl/>
              <w:spacing w:line="28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时效指标</w:t>
            </w:r>
          </w:p>
        </w:tc>
        <w:tc>
          <w:tcPr>
            <w:tcW w:w="1644" w:type="dxa"/>
            <w:vAlign w:val="center"/>
          </w:tcPr>
          <w:p>
            <w:pPr>
              <w:widowControl/>
              <w:spacing w:line="28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指标1：</w:t>
            </w:r>
          </w:p>
        </w:tc>
        <w:tc>
          <w:tcPr>
            <w:tcW w:w="876" w:type="dxa"/>
            <w:vAlign w:val="center"/>
          </w:tcPr>
          <w:p>
            <w:pPr>
              <w:widowControl/>
              <w:spacing w:line="28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1455" w:type="dxa"/>
            <w:vAlign w:val="center"/>
          </w:tcPr>
          <w:p>
            <w:pPr>
              <w:widowControl/>
              <w:spacing w:line="28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855" w:type="dxa"/>
            <w:vAlign w:val="center"/>
          </w:tcPr>
          <w:p>
            <w:pPr>
              <w:widowControl/>
              <w:spacing w:line="28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783" w:type="dxa"/>
            <w:vAlign w:val="center"/>
          </w:tcPr>
          <w:p>
            <w:pPr>
              <w:widowControl/>
              <w:spacing w:line="28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1418" w:type="dxa"/>
            <w:vAlign w:val="center"/>
          </w:tcPr>
          <w:p>
            <w:pPr>
              <w:widowControl/>
              <w:spacing w:line="28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vAlign w:val="center"/>
          </w:tcPr>
          <w:p>
            <w:pPr>
              <w:spacing w:line="280" w:lineRule="exact"/>
              <w:jc w:val="left"/>
              <w:rPr>
                <w:rFonts w:ascii="Times New Roman" w:hAnsi="Times New Roman" w:eastAsia="仿宋_GB2312" w:cs="Times New Roman"/>
                <w:color w:val="000000"/>
                <w:kern w:val="0"/>
                <w:szCs w:val="21"/>
              </w:rPr>
            </w:pPr>
          </w:p>
        </w:tc>
        <w:tc>
          <w:tcPr>
            <w:tcW w:w="735" w:type="dxa"/>
            <w:vMerge w:val="continue"/>
            <w:vAlign w:val="center"/>
          </w:tcPr>
          <w:p>
            <w:pPr>
              <w:widowControl/>
              <w:spacing w:line="280" w:lineRule="exact"/>
              <w:jc w:val="left"/>
              <w:rPr>
                <w:rFonts w:ascii="Times New Roman" w:hAnsi="Times New Roman" w:eastAsia="仿宋_GB2312" w:cs="Times New Roman"/>
                <w:color w:val="000000"/>
                <w:kern w:val="0"/>
                <w:szCs w:val="21"/>
              </w:rPr>
            </w:pPr>
          </w:p>
        </w:tc>
        <w:tc>
          <w:tcPr>
            <w:tcW w:w="1005" w:type="dxa"/>
            <w:vMerge w:val="continue"/>
            <w:vAlign w:val="center"/>
          </w:tcPr>
          <w:p>
            <w:pPr>
              <w:widowControl/>
              <w:spacing w:line="280" w:lineRule="exact"/>
              <w:jc w:val="center"/>
              <w:rPr>
                <w:rFonts w:ascii="Times New Roman" w:hAnsi="Times New Roman" w:eastAsia="仿宋_GB2312" w:cs="Times New Roman"/>
                <w:color w:val="000000"/>
                <w:kern w:val="0"/>
                <w:szCs w:val="21"/>
              </w:rPr>
            </w:pPr>
          </w:p>
        </w:tc>
        <w:tc>
          <w:tcPr>
            <w:tcW w:w="1644" w:type="dxa"/>
            <w:vAlign w:val="center"/>
          </w:tcPr>
          <w:p>
            <w:pPr>
              <w:widowControl/>
              <w:spacing w:line="28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指标2：</w:t>
            </w:r>
          </w:p>
        </w:tc>
        <w:tc>
          <w:tcPr>
            <w:tcW w:w="876" w:type="dxa"/>
            <w:vAlign w:val="center"/>
          </w:tcPr>
          <w:p>
            <w:pPr>
              <w:widowControl/>
              <w:spacing w:line="28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1455" w:type="dxa"/>
            <w:vAlign w:val="center"/>
          </w:tcPr>
          <w:p>
            <w:pPr>
              <w:widowControl/>
              <w:spacing w:line="28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855" w:type="dxa"/>
            <w:vAlign w:val="center"/>
          </w:tcPr>
          <w:p>
            <w:pPr>
              <w:widowControl/>
              <w:spacing w:line="28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783" w:type="dxa"/>
            <w:vAlign w:val="center"/>
          </w:tcPr>
          <w:p>
            <w:pPr>
              <w:widowControl/>
              <w:spacing w:line="28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1418" w:type="dxa"/>
            <w:vAlign w:val="center"/>
          </w:tcPr>
          <w:p>
            <w:pPr>
              <w:widowControl/>
              <w:spacing w:line="28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vAlign w:val="center"/>
          </w:tcPr>
          <w:p>
            <w:pPr>
              <w:spacing w:line="280" w:lineRule="exact"/>
              <w:jc w:val="left"/>
              <w:rPr>
                <w:rFonts w:ascii="Times New Roman" w:hAnsi="Times New Roman" w:eastAsia="仿宋_GB2312" w:cs="Times New Roman"/>
                <w:color w:val="000000"/>
                <w:kern w:val="0"/>
                <w:szCs w:val="21"/>
              </w:rPr>
            </w:pPr>
          </w:p>
        </w:tc>
        <w:tc>
          <w:tcPr>
            <w:tcW w:w="735" w:type="dxa"/>
            <w:vMerge w:val="continue"/>
            <w:vAlign w:val="center"/>
          </w:tcPr>
          <w:p>
            <w:pPr>
              <w:widowControl/>
              <w:spacing w:line="280" w:lineRule="exact"/>
              <w:jc w:val="left"/>
              <w:rPr>
                <w:rFonts w:ascii="Times New Roman" w:hAnsi="Times New Roman" w:eastAsia="仿宋_GB2312" w:cs="Times New Roman"/>
                <w:color w:val="000000"/>
                <w:kern w:val="0"/>
                <w:szCs w:val="21"/>
              </w:rPr>
            </w:pPr>
          </w:p>
        </w:tc>
        <w:tc>
          <w:tcPr>
            <w:tcW w:w="1005" w:type="dxa"/>
            <w:vMerge w:val="continue"/>
            <w:vAlign w:val="center"/>
          </w:tcPr>
          <w:p>
            <w:pPr>
              <w:widowControl/>
              <w:spacing w:line="280" w:lineRule="exact"/>
              <w:jc w:val="center"/>
              <w:rPr>
                <w:rFonts w:ascii="Times New Roman" w:hAnsi="Times New Roman" w:eastAsia="仿宋_GB2312" w:cs="Times New Roman"/>
                <w:color w:val="000000"/>
                <w:kern w:val="0"/>
                <w:szCs w:val="21"/>
              </w:rPr>
            </w:pPr>
          </w:p>
        </w:tc>
        <w:tc>
          <w:tcPr>
            <w:tcW w:w="1644" w:type="dxa"/>
            <w:vAlign w:val="center"/>
          </w:tcPr>
          <w:p>
            <w:pPr>
              <w:widowControl/>
              <w:spacing w:line="28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w:t>
            </w:r>
          </w:p>
        </w:tc>
        <w:tc>
          <w:tcPr>
            <w:tcW w:w="876" w:type="dxa"/>
            <w:vAlign w:val="center"/>
          </w:tcPr>
          <w:p>
            <w:pPr>
              <w:widowControl/>
              <w:spacing w:line="28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1455" w:type="dxa"/>
            <w:vAlign w:val="center"/>
          </w:tcPr>
          <w:p>
            <w:pPr>
              <w:widowControl/>
              <w:spacing w:line="28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855" w:type="dxa"/>
            <w:vAlign w:val="center"/>
          </w:tcPr>
          <w:p>
            <w:pPr>
              <w:widowControl/>
              <w:spacing w:line="28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783" w:type="dxa"/>
            <w:vAlign w:val="center"/>
          </w:tcPr>
          <w:p>
            <w:pPr>
              <w:widowControl/>
              <w:spacing w:line="28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1418" w:type="dxa"/>
            <w:vAlign w:val="center"/>
          </w:tcPr>
          <w:p>
            <w:pPr>
              <w:widowControl/>
              <w:spacing w:line="28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vAlign w:val="center"/>
          </w:tcPr>
          <w:p>
            <w:pPr>
              <w:spacing w:line="280" w:lineRule="exact"/>
              <w:jc w:val="left"/>
              <w:rPr>
                <w:rFonts w:ascii="Times New Roman" w:hAnsi="Times New Roman" w:eastAsia="仿宋_GB2312" w:cs="Times New Roman"/>
                <w:color w:val="000000"/>
                <w:kern w:val="0"/>
                <w:szCs w:val="21"/>
              </w:rPr>
            </w:pPr>
          </w:p>
        </w:tc>
        <w:tc>
          <w:tcPr>
            <w:tcW w:w="735" w:type="dxa"/>
            <w:vMerge w:val="continue"/>
            <w:vAlign w:val="center"/>
          </w:tcPr>
          <w:p>
            <w:pPr>
              <w:widowControl/>
              <w:spacing w:line="280" w:lineRule="exact"/>
              <w:jc w:val="left"/>
              <w:rPr>
                <w:rFonts w:ascii="Times New Roman" w:hAnsi="Times New Roman" w:eastAsia="仿宋_GB2312" w:cs="Times New Roman"/>
                <w:color w:val="000000"/>
                <w:kern w:val="0"/>
                <w:szCs w:val="21"/>
              </w:rPr>
            </w:pPr>
          </w:p>
        </w:tc>
        <w:tc>
          <w:tcPr>
            <w:tcW w:w="1005" w:type="dxa"/>
            <w:vMerge w:val="restart"/>
            <w:vAlign w:val="center"/>
          </w:tcPr>
          <w:p>
            <w:pPr>
              <w:widowControl/>
              <w:spacing w:line="28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成本指标</w:t>
            </w:r>
          </w:p>
        </w:tc>
        <w:tc>
          <w:tcPr>
            <w:tcW w:w="1644" w:type="dxa"/>
            <w:vAlign w:val="center"/>
          </w:tcPr>
          <w:p>
            <w:pPr>
              <w:widowControl/>
              <w:spacing w:line="28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指标1：主题活动开展</w:t>
            </w:r>
            <w:r>
              <w:rPr>
                <w:rFonts w:ascii="Times New Roman" w:hAnsi="Times New Roman" w:cs="Times New Roman"/>
                <w:color w:val="000000"/>
                <w:kern w:val="0"/>
                <w:szCs w:val="21"/>
              </w:rPr>
              <w:t>成本</w:t>
            </w:r>
          </w:p>
        </w:tc>
        <w:tc>
          <w:tcPr>
            <w:tcW w:w="876" w:type="dxa"/>
            <w:vAlign w:val="center"/>
          </w:tcPr>
          <w:p>
            <w:pPr>
              <w:widowControl/>
              <w:spacing w:line="280" w:lineRule="exact"/>
              <w:jc w:val="left"/>
              <w:rPr>
                <w:rFonts w:ascii="Times New Roman" w:hAnsi="Times New Roman" w:eastAsia="仿宋_GB2312" w:cs="Times New Roman"/>
                <w:color w:val="000000"/>
                <w:kern w:val="0"/>
                <w:szCs w:val="21"/>
              </w:rPr>
            </w:pPr>
            <w:r>
              <w:rPr>
                <w:rFonts w:ascii="Times New Roman" w:hAnsi="Times New Roman" w:cs="Times New Roman"/>
                <w:color w:val="000000"/>
                <w:kern w:val="0"/>
                <w:szCs w:val="21"/>
              </w:rPr>
              <w:t>合理</w:t>
            </w:r>
            <w:r>
              <w:rPr>
                <w:rFonts w:ascii="Times New Roman" w:hAnsi="Times New Roman" w:eastAsia="仿宋_GB2312" w:cs="Times New Roman"/>
                <w:color w:val="000000"/>
                <w:kern w:val="0"/>
                <w:szCs w:val="21"/>
              </w:rPr>
              <w:t>　</w:t>
            </w:r>
          </w:p>
        </w:tc>
        <w:tc>
          <w:tcPr>
            <w:tcW w:w="1455" w:type="dxa"/>
            <w:vAlign w:val="center"/>
          </w:tcPr>
          <w:p>
            <w:pPr>
              <w:widowControl/>
              <w:spacing w:line="280" w:lineRule="exact"/>
              <w:jc w:val="left"/>
              <w:rPr>
                <w:rFonts w:ascii="Times New Roman" w:hAnsi="Times New Roman" w:eastAsia="仿宋_GB2312" w:cs="Times New Roman"/>
                <w:color w:val="000000"/>
                <w:kern w:val="0"/>
                <w:szCs w:val="21"/>
              </w:rPr>
            </w:pPr>
            <w:r>
              <w:rPr>
                <w:rFonts w:ascii="Times New Roman" w:hAnsi="Times New Roman" w:cs="Times New Roman"/>
                <w:color w:val="000000"/>
                <w:kern w:val="0"/>
                <w:szCs w:val="21"/>
              </w:rPr>
              <w:t>合理控制成本，未超预算</w:t>
            </w:r>
          </w:p>
        </w:tc>
        <w:tc>
          <w:tcPr>
            <w:tcW w:w="855" w:type="dxa"/>
            <w:vAlign w:val="center"/>
          </w:tcPr>
          <w:p>
            <w:pPr>
              <w:widowControl/>
              <w:spacing w:line="28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r>
              <w:rPr>
                <w:rFonts w:ascii="Times New Roman" w:hAnsi="Times New Roman" w:cs="Times New Roman"/>
                <w:color w:val="000000"/>
                <w:kern w:val="0"/>
                <w:szCs w:val="21"/>
              </w:rPr>
              <w:t>10</w:t>
            </w:r>
          </w:p>
        </w:tc>
        <w:tc>
          <w:tcPr>
            <w:tcW w:w="783" w:type="dxa"/>
            <w:vAlign w:val="center"/>
          </w:tcPr>
          <w:p>
            <w:pPr>
              <w:widowControl/>
              <w:spacing w:line="28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r>
              <w:rPr>
                <w:rFonts w:ascii="Times New Roman" w:hAnsi="Times New Roman" w:cs="Times New Roman"/>
                <w:color w:val="000000"/>
                <w:kern w:val="0"/>
                <w:szCs w:val="21"/>
              </w:rPr>
              <w:t>10</w:t>
            </w:r>
          </w:p>
        </w:tc>
        <w:tc>
          <w:tcPr>
            <w:tcW w:w="1418" w:type="dxa"/>
            <w:vAlign w:val="center"/>
          </w:tcPr>
          <w:p>
            <w:pPr>
              <w:widowControl/>
              <w:spacing w:line="28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vAlign w:val="center"/>
          </w:tcPr>
          <w:p>
            <w:pPr>
              <w:spacing w:line="280" w:lineRule="exact"/>
              <w:jc w:val="left"/>
              <w:rPr>
                <w:rFonts w:ascii="Times New Roman" w:hAnsi="Times New Roman" w:eastAsia="仿宋_GB2312" w:cs="Times New Roman"/>
                <w:color w:val="000000"/>
                <w:kern w:val="0"/>
                <w:szCs w:val="21"/>
              </w:rPr>
            </w:pPr>
          </w:p>
        </w:tc>
        <w:tc>
          <w:tcPr>
            <w:tcW w:w="735" w:type="dxa"/>
            <w:vMerge w:val="continue"/>
            <w:vAlign w:val="center"/>
          </w:tcPr>
          <w:p>
            <w:pPr>
              <w:widowControl/>
              <w:spacing w:line="280" w:lineRule="exact"/>
              <w:jc w:val="left"/>
              <w:rPr>
                <w:rFonts w:ascii="Times New Roman" w:hAnsi="Times New Roman" w:eastAsia="仿宋_GB2312" w:cs="Times New Roman"/>
                <w:color w:val="000000"/>
                <w:kern w:val="0"/>
                <w:szCs w:val="21"/>
              </w:rPr>
            </w:pPr>
          </w:p>
        </w:tc>
        <w:tc>
          <w:tcPr>
            <w:tcW w:w="1005" w:type="dxa"/>
            <w:vMerge w:val="continue"/>
            <w:vAlign w:val="center"/>
          </w:tcPr>
          <w:p>
            <w:pPr>
              <w:widowControl/>
              <w:spacing w:line="280" w:lineRule="exact"/>
              <w:jc w:val="left"/>
              <w:rPr>
                <w:rFonts w:ascii="Times New Roman" w:hAnsi="Times New Roman" w:eastAsia="仿宋_GB2312" w:cs="Times New Roman"/>
                <w:color w:val="000000"/>
                <w:kern w:val="0"/>
                <w:szCs w:val="21"/>
              </w:rPr>
            </w:pPr>
          </w:p>
        </w:tc>
        <w:tc>
          <w:tcPr>
            <w:tcW w:w="1644" w:type="dxa"/>
            <w:vAlign w:val="center"/>
          </w:tcPr>
          <w:p>
            <w:pPr>
              <w:widowControl/>
              <w:spacing w:line="28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指标2：</w:t>
            </w:r>
          </w:p>
        </w:tc>
        <w:tc>
          <w:tcPr>
            <w:tcW w:w="876" w:type="dxa"/>
            <w:vAlign w:val="center"/>
          </w:tcPr>
          <w:p>
            <w:pPr>
              <w:widowControl/>
              <w:spacing w:line="28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1455" w:type="dxa"/>
            <w:vAlign w:val="center"/>
          </w:tcPr>
          <w:p>
            <w:pPr>
              <w:widowControl/>
              <w:spacing w:line="28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855" w:type="dxa"/>
            <w:vAlign w:val="center"/>
          </w:tcPr>
          <w:p>
            <w:pPr>
              <w:widowControl/>
              <w:spacing w:line="28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783" w:type="dxa"/>
            <w:vAlign w:val="center"/>
          </w:tcPr>
          <w:p>
            <w:pPr>
              <w:widowControl/>
              <w:spacing w:line="28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1418" w:type="dxa"/>
            <w:vAlign w:val="center"/>
          </w:tcPr>
          <w:p>
            <w:pPr>
              <w:widowControl/>
              <w:spacing w:line="28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vAlign w:val="center"/>
          </w:tcPr>
          <w:p>
            <w:pPr>
              <w:spacing w:line="280" w:lineRule="exact"/>
              <w:jc w:val="left"/>
              <w:rPr>
                <w:rFonts w:ascii="Times New Roman" w:hAnsi="Times New Roman" w:eastAsia="仿宋_GB2312" w:cs="Times New Roman"/>
                <w:color w:val="000000"/>
                <w:kern w:val="0"/>
                <w:szCs w:val="21"/>
              </w:rPr>
            </w:pPr>
          </w:p>
        </w:tc>
        <w:tc>
          <w:tcPr>
            <w:tcW w:w="735" w:type="dxa"/>
            <w:vMerge w:val="continue"/>
            <w:vAlign w:val="center"/>
          </w:tcPr>
          <w:p>
            <w:pPr>
              <w:widowControl/>
              <w:spacing w:line="280" w:lineRule="exact"/>
              <w:jc w:val="left"/>
              <w:rPr>
                <w:rFonts w:ascii="Times New Roman" w:hAnsi="Times New Roman" w:eastAsia="仿宋_GB2312" w:cs="Times New Roman"/>
                <w:color w:val="000000"/>
                <w:kern w:val="0"/>
                <w:szCs w:val="21"/>
              </w:rPr>
            </w:pPr>
          </w:p>
        </w:tc>
        <w:tc>
          <w:tcPr>
            <w:tcW w:w="1005" w:type="dxa"/>
            <w:vMerge w:val="continue"/>
            <w:vAlign w:val="center"/>
          </w:tcPr>
          <w:p>
            <w:pPr>
              <w:widowControl/>
              <w:spacing w:line="280" w:lineRule="exact"/>
              <w:jc w:val="left"/>
              <w:rPr>
                <w:rFonts w:ascii="Times New Roman" w:hAnsi="Times New Roman" w:eastAsia="仿宋_GB2312" w:cs="Times New Roman"/>
                <w:color w:val="000000"/>
                <w:kern w:val="0"/>
                <w:szCs w:val="21"/>
              </w:rPr>
            </w:pPr>
          </w:p>
        </w:tc>
        <w:tc>
          <w:tcPr>
            <w:tcW w:w="1644" w:type="dxa"/>
            <w:vAlign w:val="center"/>
          </w:tcPr>
          <w:p>
            <w:pPr>
              <w:widowControl/>
              <w:spacing w:line="28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w:t>
            </w:r>
          </w:p>
        </w:tc>
        <w:tc>
          <w:tcPr>
            <w:tcW w:w="876" w:type="dxa"/>
            <w:vAlign w:val="center"/>
          </w:tcPr>
          <w:p>
            <w:pPr>
              <w:widowControl/>
              <w:spacing w:line="28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1455" w:type="dxa"/>
            <w:vAlign w:val="center"/>
          </w:tcPr>
          <w:p>
            <w:pPr>
              <w:widowControl/>
              <w:spacing w:line="28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855" w:type="dxa"/>
            <w:vAlign w:val="center"/>
          </w:tcPr>
          <w:p>
            <w:pPr>
              <w:widowControl/>
              <w:spacing w:line="28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783" w:type="dxa"/>
            <w:vAlign w:val="center"/>
          </w:tcPr>
          <w:p>
            <w:pPr>
              <w:widowControl/>
              <w:spacing w:line="28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1418" w:type="dxa"/>
            <w:vAlign w:val="center"/>
          </w:tcPr>
          <w:p>
            <w:pPr>
              <w:widowControl/>
              <w:spacing w:line="28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vAlign w:val="center"/>
          </w:tcPr>
          <w:p>
            <w:pPr>
              <w:spacing w:line="280" w:lineRule="exact"/>
              <w:jc w:val="left"/>
              <w:rPr>
                <w:rFonts w:ascii="Times New Roman" w:hAnsi="Times New Roman" w:eastAsia="仿宋_GB2312" w:cs="Times New Roman"/>
                <w:color w:val="000000"/>
                <w:kern w:val="0"/>
                <w:szCs w:val="21"/>
              </w:rPr>
            </w:pPr>
          </w:p>
        </w:tc>
        <w:tc>
          <w:tcPr>
            <w:tcW w:w="735" w:type="dxa"/>
            <w:vMerge w:val="restart"/>
            <w:vAlign w:val="center"/>
          </w:tcPr>
          <w:p>
            <w:pPr>
              <w:widowControl/>
              <w:spacing w:line="28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效益指标</w:t>
            </w:r>
          </w:p>
          <w:p>
            <w:pPr>
              <w:widowControl/>
              <w:spacing w:line="280" w:lineRule="exact"/>
              <w:jc w:val="left"/>
              <w:rPr>
                <w:rFonts w:ascii="Times New Roman" w:hAnsi="Times New Roman" w:eastAsia="仿宋_GB2312" w:cs="Times New Roman"/>
                <w:color w:val="000000"/>
                <w:kern w:val="0"/>
                <w:szCs w:val="21"/>
              </w:rPr>
            </w:pPr>
          </w:p>
          <w:p>
            <w:pPr>
              <w:widowControl/>
              <w:spacing w:line="28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w:t>
            </w:r>
            <w:r>
              <w:rPr>
                <w:rFonts w:ascii="Times New Roman" w:hAnsi="Times New Roman" w:cs="Times New Roman"/>
                <w:color w:val="000000"/>
                <w:kern w:val="0"/>
                <w:szCs w:val="21"/>
              </w:rPr>
              <w:t>4</w:t>
            </w:r>
            <w:r>
              <w:rPr>
                <w:rFonts w:ascii="Times New Roman" w:hAnsi="Times New Roman" w:eastAsia="仿宋_GB2312" w:cs="Times New Roman"/>
                <w:color w:val="000000"/>
                <w:kern w:val="0"/>
                <w:szCs w:val="21"/>
              </w:rPr>
              <w:t>0分）</w:t>
            </w:r>
          </w:p>
          <w:p>
            <w:pPr>
              <w:widowControl/>
              <w:spacing w:line="28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p>
            <w:pPr>
              <w:widowControl/>
              <w:spacing w:line="280" w:lineRule="exact"/>
              <w:jc w:val="center"/>
              <w:rPr>
                <w:rFonts w:ascii="Times New Roman" w:hAnsi="Times New Roman" w:eastAsia="仿宋_GB2312" w:cs="Times New Roman"/>
                <w:color w:val="000000"/>
                <w:kern w:val="0"/>
                <w:szCs w:val="21"/>
              </w:rPr>
            </w:pPr>
          </w:p>
        </w:tc>
        <w:tc>
          <w:tcPr>
            <w:tcW w:w="1005" w:type="dxa"/>
            <w:vMerge w:val="restart"/>
            <w:vAlign w:val="center"/>
          </w:tcPr>
          <w:p>
            <w:pPr>
              <w:widowControl/>
              <w:spacing w:line="28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经济效</w:t>
            </w:r>
          </w:p>
          <w:p>
            <w:pPr>
              <w:widowControl/>
              <w:spacing w:line="28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益指标</w:t>
            </w:r>
          </w:p>
        </w:tc>
        <w:tc>
          <w:tcPr>
            <w:tcW w:w="1644" w:type="dxa"/>
            <w:vAlign w:val="center"/>
          </w:tcPr>
          <w:p>
            <w:pPr>
              <w:widowControl/>
              <w:spacing w:line="28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指标1：</w:t>
            </w:r>
          </w:p>
        </w:tc>
        <w:tc>
          <w:tcPr>
            <w:tcW w:w="876" w:type="dxa"/>
            <w:vAlign w:val="center"/>
          </w:tcPr>
          <w:p>
            <w:pPr>
              <w:widowControl/>
              <w:spacing w:line="28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1455" w:type="dxa"/>
            <w:vAlign w:val="center"/>
          </w:tcPr>
          <w:p>
            <w:pPr>
              <w:widowControl/>
              <w:spacing w:line="28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855" w:type="dxa"/>
            <w:vAlign w:val="center"/>
          </w:tcPr>
          <w:p>
            <w:pPr>
              <w:widowControl/>
              <w:spacing w:line="28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783" w:type="dxa"/>
            <w:vAlign w:val="center"/>
          </w:tcPr>
          <w:p>
            <w:pPr>
              <w:widowControl/>
              <w:spacing w:line="28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1418" w:type="dxa"/>
            <w:vAlign w:val="center"/>
          </w:tcPr>
          <w:p>
            <w:pPr>
              <w:widowControl/>
              <w:spacing w:line="28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vAlign w:val="center"/>
          </w:tcPr>
          <w:p>
            <w:pPr>
              <w:spacing w:line="280" w:lineRule="exact"/>
              <w:jc w:val="left"/>
              <w:rPr>
                <w:rFonts w:ascii="Times New Roman" w:hAnsi="Times New Roman" w:eastAsia="仿宋_GB2312" w:cs="Times New Roman"/>
                <w:color w:val="000000"/>
                <w:kern w:val="0"/>
                <w:szCs w:val="21"/>
              </w:rPr>
            </w:pPr>
          </w:p>
        </w:tc>
        <w:tc>
          <w:tcPr>
            <w:tcW w:w="735" w:type="dxa"/>
            <w:vMerge w:val="continue"/>
            <w:vAlign w:val="center"/>
          </w:tcPr>
          <w:p>
            <w:pPr>
              <w:widowControl/>
              <w:spacing w:line="280" w:lineRule="exact"/>
              <w:jc w:val="left"/>
              <w:rPr>
                <w:rFonts w:ascii="Times New Roman" w:hAnsi="Times New Roman" w:eastAsia="仿宋_GB2312" w:cs="Times New Roman"/>
                <w:color w:val="000000"/>
                <w:kern w:val="0"/>
                <w:szCs w:val="21"/>
              </w:rPr>
            </w:pPr>
          </w:p>
        </w:tc>
        <w:tc>
          <w:tcPr>
            <w:tcW w:w="1005" w:type="dxa"/>
            <w:vMerge w:val="continue"/>
            <w:vAlign w:val="center"/>
          </w:tcPr>
          <w:p>
            <w:pPr>
              <w:widowControl/>
              <w:spacing w:line="280" w:lineRule="exact"/>
              <w:jc w:val="center"/>
              <w:rPr>
                <w:rFonts w:ascii="Times New Roman" w:hAnsi="Times New Roman" w:eastAsia="仿宋_GB2312" w:cs="Times New Roman"/>
                <w:color w:val="000000"/>
                <w:kern w:val="0"/>
                <w:szCs w:val="21"/>
              </w:rPr>
            </w:pPr>
          </w:p>
        </w:tc>
        <w:tc>
          <w:tcPr>
            <w:tcW w:w="1644" w:type="dxa"/>
            <w:vAlign w:val="center"/>
          </w:tcPr>
          <w:p>
            <w:pPr>
              <w:widowControl/>
              <w:spacing w:line="28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指标2：</w:t>
            </w:r>
          </w:p>
        </w:tc>
        <w:tc>
          <w:tcPr>
            <w:tcW w:w="876" w:type="dxa"/>
            <w:vAlign w:val="center"/>
          </w:tcPr>
          <w:p>
            <w:pPr>
              <w:widowControl/>
              <w:spacing w:line="28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1455" w:type="dxa"/>
            <w:vAlign w:val="center"/>
          </w:tcPr>
          <w:p>
            <w:pPr>
              <w:widowControl/>
              <w:spacing w:line="28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855" w:type="dxa"/>
            <w:vAlign w:val="center"/>
          </w:tcPr>
          <w:p>
            <w:pPr>
              <w:widowControl/>
              <w:spacing w:line="28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783" w:type="dxa"/>
            <w:vAlign w:val="center"/>
          </w:tcPr>
          <w:p>
            <w:pPr>
              <w:widowControl/>
              <w:spacing w:line="28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1418" w:type="dxa"/>
            <w:vAlign w:val="center"/>
          </w:tcPr>
          <w:p>
            <w:pPr>
              <w:widowControl/>
              <w:spacing w:line="28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vAlign w:val="center"/>
          </w:tcPr>
          <w:p>
            <w:pPr>
              <w:spacing w:line="280" w:lineRule="exact"/>
              <w:jc w:val="left"/>
              <w:rPr>
                <w:rFonts w:ascii="Times New Roman" w:hAnsi="Times New Roman" w:eastAsia="仿宋_GB2312" w:cs="Times New Roman"/>
                <w:color w:val="000000"/>
                <w:kern w:val="0"/>
                <w:szCs w:val="21"/>
              </w:rPr>
            </w:pPr>
          </w:p>
        </w:tc>
        <w:tc>
          <w:tcPr>
            <w:tcW w:w="735" w:type="dxa"/>
            <w:vMerge w:val="continue"/>
            <w:vAlign w:val="center"/>
          </w:tcPr>
          <w:p>
            <w:pPr>
              <w:widowControl/>
              <w:spacing w:line="280" w:lineRule="exact"/>
              <w:jc w:val="left"/>
              <w:rPr>
                <w:rFonts w:ascii="Times New Roman" w:hAnsi="Times New Roman" w:eastAsia="仿宋_GB2312" w:cs="Times New Roman"/>
                <w:color w:val="000000"/>
                <w:kern w:val="0"/>
                <w:szCs w:val="21"/>
              </w:rPr>
            </w:pPr>
          </w:p>
        </w:tc>
        <w:tc>
          <w:tcPr>
            <w:tcW w:w="1005" w:type="dxa"/>
            <w:vMerge w:val="continue"/>
            <w:vAlign w:val="center"/>
          </w:tcPr>
          <w:p>
            <w:pPr>
              <w:widowControl/>
              <w:spacing w:line="280" w:lineRule="exact"/>
              <w:jc w:val="center"/>
              <w:rPr>
                <w:rFonts w:ascii="Times New Roman" w:hAnsi="Times New Roman" w:eastAsia="仿宋_GB2312" w:cs="Times New Roman"/>
                <w:color w:val="000000"/>
                <w:kern w:val="0"/>
                <w:szCs w:val="21"/>
              </w:rPr>
            </w:pPr>
          </w:p>
        </w:tc>
        <w:tc>
          <w:tcPr>
            <w:tcW w:w="1644" w:type="dxa"/>
            <w:vAlign w:val="center"/>
          </w:tcPr>
          <w:p>
            <w:pPr>
              <w:widowControl/>
              <w:spacing w:line="28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w:t>
            </w:r>
          </w:p>
        </w:tc>
        <w:tc>
          <w:tcPr>
            <w:tcW w:w="876" w:type="dxa"/>
            <w:vAlign w:val="center"/>
          </w:tcPr>
          <w:p>
            <w:pPr>
              <w:widowControl/>
              <w:spacing w:line="28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1455" w:type="dxa"/>
            <w:vAlign w:val="center"/>
          </w:tcPr>
          <w:p>
            <w:pPr>
              <w:widowControl/>
              <w:spacing w:line="28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855" w:type="dxa"/>
            <w:vAlign w:val="center"/>
          </w:tcPr>
          <w:p>
            <w:pPr>
              <w:widowControl/>
              <w:spacing w:line="28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783" w:type="dxa"/>
            <w:vAlign w:val="center"/>
          </w:tcPr>
          <w:p>
            <w:pPr>
              <w:widowControl/>
              <w:spacing w:line="28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1418" w:type="dxa"/>
            <w:vAlign w:val="center"/>
          </w:tcPr>
          <w:p>
            <w:pPr>
              <w:widowControl/>
              <w:spacing w:line="28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vAlign w:val="center"/>
          </w:tcPr>
          <w:p>
            <w:pPr>
              <w:spacing w:line="280" w:lineRule="exact"/>
              <w:jc w:val="left"/>
              <w:rPr>
                <w:rFonts w:ascii="Times New Roman" w:hAnsi="Times New Roman" w:eastAsia="仿宋_GB2312" w:cs="Times New Roman"/>
                <w:color w:val="000000"/>
                <w:kern w:val="0"/>
                <w:szCs w:val="21"/>
              </w:rPr>
            </w:pPr>
          </w:p>
        </w:tc>
        <w:tc>
          <w:tcPr>
            <w:tcW w:w="735" w:type="dxa"/>
            <w:vMerge w:val="continue"/>
            <w:vAlign w:val="center"/>
          </w:tcPr>
          <w:p>
            <w:pPr>
              <w:widowControl/>
              <w:spacing w:line="280" w:lineRule="exact"/>
              <w:jc w:val="left"/>
              <w:rPr>
                <w:rFonts w:ascii="Times New Roman" w:hAnsi="Times New Roman" w:eastAsia="仿宋_GB2312" w:cs="Times New Roman"/>
                <w:color w:val="000000"/>
                <w:kern w:val="0"/>
                <w:szCs w:val="21"/>
              </w:rPr>
            </w:pPr>
          </w:p>
        </w:tc>
        <w:tc>
          <w:tcPr>
            <w:tcW w:w="1005" w:type="dxa"/>
            <w:vMerge w:val="restart"/>
            <w:vAlign w:val="center"/>
          </w:tcPr>
          <w:p>
            <w:pPr>
              <w:widowControl/>
              <w:spacing w:line="28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社会效</w:t>
            </w:r>
          </w:p>
          <w:p>
            <w:pPr>
              <w:widowControl/>
              <w:spacing w:line="28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益指标</w:t>
            </w:r>
          </w:p>
        </w:tc>
        <w:tc>
          <w:tcPr>
            <w:tcW w:w="1644" w:type="dxa"/>
            <w:vAlign w:val="center"/>
          </w:tcPr>
          <w:p>
            <w:pPr>
              <w:widowControl/>
              <w:spacing w:line="28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指标1：不断加强青少年思想政治引领</w:t>
            </w:r>
          </w:p>
        </w:tc>
        <w:tc>
          <w:tcPr>
            <w:tcW w:w="876" w:type="dxa"/>
            <w:vAlign w:val="center"/>
          </w:tcPr>
          <w:p>
            <w:pPr>
              <w:widowControl/>
              <w:spacing w:line="280" w:lineRule="exact"/>
              <w:jc w:val="center"/>
              <w:rPr>
                <w:rFonts w:ascii="Times New Roman" w:hAnsi="Times New Roman" w:eastAsia="仿宋_GB2312" w:cs="Times New Roman"/>
                <w:color w:val="000000"/>
                <w:kern w:val="0"/>
                <w:szCs w:val="21"/>
              </w:rPr>
            </w:pPr>
            <w:r>
              <w:rPr>
                <w:rFonts w:ascii="Times New Roman" w:hAnsi="Times New Roman" w:cs="Times New Roman"/>
                <w:color w:val="000000"/>
                <w:kern w:val="0"/>
                <w:szCs w:val="21"/>
              </w:rPr>
              <w:t>优化</w:t>
            </w:r>
          </w:p>
        </w:tc>
        <w:tc>
          <w:tcPr>
            <w:tcW w:w="1455" w:type="dxa"/>
            <w:vAlign w:val="center"/>
          </w:tcPr>
          <w:p>
            <w:pPr>
              <w:widowControl/>
              <w:spacing w:line="28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把宣传习近平新时代中国特色社会主义思想作为全年宣传思想文化工作的主线。利用重要时间节点，开展主题教育活动。</w:t>
            </w:r>
          </w:p>
        </w:tc>
        <w:tc>
          <w:tcPr>
            <w:tcW w:w="855" w:type="dxa"/>
            <w:vAlign w:val="center"/>
          </w:tcPr>
          <w:p>
            <w:pPr>
              <w:widowControl/>
              <w:spacing w:line="28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r>
              <w:rPr>
                <w:rFonts w:ascii="Times New Roman" w:hAnsi="Times New Roman" w:cs="Times New Roman"/>
                <w:color w:val="000000"/>
                <w:kern w:val="0"/>
                <w:szCs w:val="21"/>
              </w:rPr>
              <w:t>15</w:t>
            </w:r>
          </w:p>
        </w:tc>
        <w:tc>
          <w:tcPr>
            <w:tcW w:w="783" w:type="dxa"/>
            <w:vAlign w:val="center"/>
          </w:tcPr>
          <w:p>
            <w:pPr>
              <w:widowControl/>
              <w:spacing w:line="28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r>
              <w:rPr>
                <w:rFonts w:ascii="Times New Roman" w:hAnsi="Times New Roman" w:cs="Times New Roman"/>
                <w:color w:val="000000"/>
                <w:kern w:val="0"/>
                <w:szCs w:val="21"/>
              </w:rPr>
              <w:t>15</w:t>
            </w:r>
          </w:p>
        </w:tc>
        <w:tc>
          <w:tcPr>
            <w:tcW w:w="1418" w:type="dxa"/>
            <w:vAlign w:val="center"/>
          </w:tcPr>
          <w:p>
            <w:pPr>
              <w:widowControl/>
              <w:spacing w:line="28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vAlign w:val="center"/>
          </w:tcPr>
          <w:p>
            <w:pPr>
              <w:spacing w:line="280" w:lineRule="exact"/>
              <w:jc w:val="left"/>
              <w:rPr>
                <w:rFonts w:ascii="Times New Roman" w:hAnsi="Times New Roman" w:eastAsia="仿宋_GB2312" w:cs="Times New Roman"/>
                <w:color w:val="000000"/>
                <w:kern w:val="0"/>
                <w:szCs w:val="21"/>
              </w:rPr>
            </w:pPr>
          </w:p>
        </w:tc>
        <w:tc>
          <w:tcPr>
            <w:tcW w:w="735" w:type="dxa"/>
            <w:vMerge w:val="continue"/>
            <w:vAlign w:val="center"/>
          </w:tcPr>
          <w:p>
            <w:pPr>
              <w:widowControl/>
              <w:spacing w:line="280" w:lineRule="exact"/>
              <w:jc w:val="left"/>
              <w:rPr>
                <w:rFonts w:ascii="Times New Roman" w:hAnsi="Times New Roman" w:eastAsia="仿宋_GB2312" w:cs="Times New Roman"/>
                <w:color w:val="000000"/>
                <w:kern w:val="0"/>
                <w:szCs w:val="21"/>
              </w:rPr>
            </w:pPr>
          </w:p>
        </w:tc>
        <w:tc>
          <w:tcPr>
            <w:tcW w:w="1005" w:type="dxa"/>
            <w:vMerge w:val="continue"/>
            <w:vAlign w:val="center"/>
          </w:tcPr>
          <w:p>
            <w:pPr>
              <w:widowControl/>
              <w:spacing w:line="280" w:lineRule="exact"/>
              <w:jc w:val="center"/>
              <w:rPr>
                <w:rFonts w:ascii="Times New Roman" w:hAnsi="Times New Roman" w:eastAsia="仿宋_GB2312" w:cs="Times New Roman"/>
                <w:color w:val="000000"/>
                <w:kern w:val="0"/>
                <w:szCs w:val="21"/>
              </w:rPr>
            </w:pPr>
          </w:p>
        </w:tc>
        <w:tc>
          <w:tcPr>
            <w:tcW w:w="1644" w:type="dxa"/>
            <w:vAlign w:val="center"/>
          </w:tcPr>
          <w:p>
            <w:pPr>
              <w:widowControl/>
              <w:spacing w:line="28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指标2：进一步加强共青团基层组织建设</w:t>
            </w:r>
          </w:p>
        </w:tc>
        <w:tc>
          <w:tcPr>
            <w:tcW w:w="876" w:type="dxa"/>
            <w:vAlign w:val="center"/>
          </w:tcPr>
          <w:p>
            <w:pPr>
              <w:widowControl/>
              <w:spacing w:line="280" w:lineRule="exact"/>
              <w:jc w:val="center"/>
              <w:rPr>
                <w:rFonts w:ascii="Times New Roman" w:hAnsi="Times New Roman" w:eastAsia="仿宋_GB2312" w:cs="Times New Roman"/>
                <w:color w:val="000000"/>
                <w:kern w:val="0"/>
                <w:szCs w:val="21"/>
              </w:rPr>
            </w:pPr>
            <w:r>
              <w:rPr>
                <w:rFonts w:ascii="Times New Roman" w:hAnsi="Times New Roman" w:cs="Times New Roman"/>
                <w:color w:val="000000"/>
                <w:kern w:val="0"/>
                <w:szCs w:val="21"/>
              </w:rPr>
              <w:t>全面</w:t>
            </w:r>
          </w:p>
        </w:tc>
        <w:tc>
          <w:tcPr>
            <w:tcW w:w="1455" w:type="dxa"/>
            <w:vAlign w:val="center"/>
          </w:tcPr>
          <w:p>
            <w:pPr>
              <w:widowControl/>
              <w:spacing w:line="28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坚持党建带团建原则，完善团的各级委员会建设；推动改革向基层延伸，扩大团的有效覆盖；强化全团带队、抓学校工作。</w:t>
            </w:r>
          </w:p>
        </w:tc>
        <w:tc>
          <w:tcPr>
            <w:tcW w:w="855" w:type="dxa"/>
            <w:vAlign w:val="center"/>
          </w:tcPr>
          <w:p>
            <w:pPr>
              <w:widowControl/>
              <w:spacing w:line="28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r>
              <w:rPr>
                <w:rFonts w:ascii="Times New Roman" w:hAnsi="Times New Roman" w:cs="Times New Roman"/>
                <w:color w:val="000000"/>
                <w:kern w:val="0"/>
                <w:szCs w:val="21"/>
              </w:rPr>
              <w:t>15</w:t>
            </w:r>
          </w:p>
        </w:tc>
        <w:tc>
          <w:tcPr>
            <w:tcW w:w="783" w:type="dxa"/>
            <w:vAlign w:val="center"/>
          </w:tcPr>
          <w:p>
            <w:pPr>
              <w:widowControl/>
              <w:spacing w:line="28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r>
              <w:rPr>
                <w:rFonts w:ascii="Times New Roman" w:hAnsi="Times New Roman" w:cs="Times New Roman"/>
                <w:color w:val="000000"/>
                <w:kern w:val="0"/>
                <w:szCs w:val="21"/>
              </w:rPr>
              <w:t>15</w:t>
            </w:r>
          </w:p>
        </w:tc>
        <w:tc>
          <w:tcPr>
            <w:tcW w:w="1418" w:type="dxa"/>
            <w:vAlign w:val="center"/>
          </w:tcPr>
          <w:p>
            <w:pPr>
              <w:widowControl/>
              <w:spacing w:line="28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vAlign w:val="center"/>
          </w:tcPr>
          <w:p>
            <w:pPr>
              <w:spacing w:line="280" w:lineRule="exact"/>
              <w:jc w:val="left"/>
              <w:rPr>
                <w:rFonts w:ascii="Times New Roman" w:hAnsi="Times New Roman" w:eastAsia="仿宋_GB2312" w:cs="Times New Roman"/>
                <w:color w:val="000000"/>
                <w:kern w:val="0"/>
                <w:szCs w:val="21"/>
              </w:rPr>
            </w:pPr>
          </w:p>
        </w:tc>
        <w:tc>
          <w:tcPr>
            <w:tcW w:w="735" w:type="dxa"/>
            <w:vMerge w:val="continue"/>
            <w:vAlign w:val="center"/>
          </w:tcPr>
          <w:p>
            <w:pPr>
              <w:widowControl/>
              <w:spacing w:line="280" w:lineRule="exact"/>
              <w:jc w:val="left"/>
              <w:rPr>
                <w:rFonts w:ascii="Times New Roman" w:hAnsi="Times New Roman" w:eastAsia="仿宋_GB2312" w:cs="Times New Roman"/>
                <w:color w:val="000000"/>
                <w:kern w:val="0"/>
                <w:szCs w:val="21"/>
              </w:rPr>
            </w:pPr>
          </w:p>
        </w:tc>
        <w:tc>
          <w:tcPr>
            <w:tcW w:w="1005" w:type="dxa"/>
            <w:vMerge w:val="continue"/>
            <w:vAlign w:val="center"/>
          </w:tcPr>
          <w:p>
            <w:pPr>
              <w:widowControl/>
              <w:spacing w:line="280" w:lineRule="exact"/>
              <w:jc w:val="center"/>
              <w:rPr>
                <w:rFonts w:ascii="Times New Roman" w:hAnsi="Times New Roman" w:eastAsia="仿宋_GB2312" w:cs="Times New Roman"/>
                <w:color w:val="000000"/>
                <w:kern w:val="0"/>
                <w:szCs w:val="21"/>
              </w:rPr>
            </w:pPr>
          </w:p>
        </w:tc>
        <w:tc>
          <w:tcPr>
            <w:tcW w:w="1644" w:type="dxa"/>
            <w:vAlign w:val="center"/>
          </w:tcPr>
          <w:p>
            <w:pPr>
              <w:widowControl/>
              <w:spacing w:line="28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w:t>
            </w:r>
          </w:p>
        </w:tc>
        <w:tc>
          <w:tcPr>
            <w:tcW w:w="876" w:type="dxa"/>
            <w:vAlign w:val="center"/>
          </w:tcPr>
          <w:p>
            <w:pPr>
              <w:widowControl/>
              <w:spacing w:line="28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1455" w:type="dxa"/>
            <w:vAlign w:val="center"/>
          </w:tcPr>
          <w:p>
            <w:pPr>
              <w:widowControl/>
              <w:spacing w:line="28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855" w:type="dxa"/>
            <w:vAlign w:val="center"/>
          </w:tcPr>
          <w:p>
            <w:pPr>
              <w:widowControl/>
              <w:spacing w:line="28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783" w:type="dxa"/>
            <w:vAlign w:val="center"/>
          </w:tcPr>
          <w:p>
            <w:pPr>
              <w:widowControl/>
              <w:spacing w:line="28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1418" w:type="dxa"/>
            <w:vAlign w:val="center"/>
          </w:tcPr>
          <w:p>
            <w:pPr>
              <w:widowControl/>
              <w:spacing w:line="28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vAlign w:val="center"/>
          </w:tcPr>
          <w:p>
            <w:pPr>
              <w:spacing w:line="280" w:lineRule="exact"/>
              <w:jc w:val="left"/>
              <w:rPr>
                <w:rFonts w:ascii="Times New Roman" w:hAnsi="Times New Roman" w:eastAsia="仿宋_GB2312" w:cs="Times New Roman"/>
                <w:color w:val="000000"/>
                <w:kern w:val="0"/>
                <w:szCs w:val="21"/>
              </w:rPr>
            </w:pPr>
          </w:p>
        </w:tc>
        <w:tc>
          <w:tcPr>
            <w:tcW w:w="735" w:type="dxa"/>
            <w:vMerge w:val="continue"/>
            <w:vAlign w:val="center"/>
          </w:tcPr>
          <w:p>
            <w:pPr>
              <w:widowControl/>
              <w:spacing w:line="280" w:lineRule="exact"/>
              <w:jc w:val="left"/>
              <w:rPr>
                <w:rFonts w:ascii="Times New Roman" w:hAnsi="Times New Roman" w:eastAsia="仿宋_GB2312" w:cs="Times New Roman"/>
                <w:color w:val="000000"/>
                <w:kern w:val="0"/>
                <w:szCs w:val="21"/>
              </w:rPr>
            </w:pPr>
          </w:p>
        </w:tc>
        <w:tc>
          <w:tcPr>
            <w:tcW w:w="1005" w:type="dxa"/>
            <w:vMerge w:val="restart"/>
            <w:vAlign w:val="center"/>
          </w:tcPr>
          <w:p>
            <w:pPr>
              <w:widowControl/>
              <w:spacing w:line="28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生态效</w:t>
            </w:r>
          </w:p>
          <w:p>
            <w:pPr>
              <w:widowControl/>
              <w:spacing w:line="28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益指标</w:t>
            </w:r>
          </w:p>
        </w:tc>
        <w:tc>
          <w:tcPr>
            <w:tcW w:w="1644" w:type="dxa"/>
            <w:vAlign w:val="center"/>
          </w:tcPr>
          <w:p>
            <w:pPr>
              <w:widowControl/>
              <w:spacing w:line="28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指标1：</w:t>
            </w:r>
          </w:p>
        </w:tc>
        <w:tc>
          <w:tcPr>
            <w:tcW w:w="876" w:type="dxa"/>
            <w:vAlign w:val="center"/>
          </w:tcPr>
          <w:p>
            <w:pPr>
              <w:widowControl/>
              <w:spacing w:line="28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1455" w:type="dxa"/>
            <w:vAlign w:val="center"/>
          </w:tcPr>
          <w:p>
            <w:pPr>
              <w:widowControl/>
              <w:spacing w:line="28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855" w:type="dxa"/>
            <w:vAlign w:val="center"/>
          </w:tcPr>
          <w:p>
            <w:pPr>
              <w:widowControl/>
              <w:spacing w:line="28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783" w:type="dxa"/>
            <w:vAlign w:val="center"/>
          </w:tcPr>
          <w:p>
            <w:pPr>
              <w:widowControl/>
              <w:spacing w:line="28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1418" w:type="dxa"/>
            <w:vAlign w:val="center"/>
          </w:tcPr>
          <w:p>
            <w:pPr>
              <w:widowControl/>
              <w:spacing w:line="28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vAlign w:val="center"/>
          </w:tcPr>
          <w:p>
            <w:pPr>
              <w:spacing w:line="280" w:lineRule="exact"/>
              <w:jc w:val="left"/>
              <w:rPr>
                <w:rFonts w:ascii="Times New Roman" w:hAnsi="Times New Roman" w:eastAsia="仿宋_GB2312" w:cs="Times New Roman"/>
                <w:color w:val="000000"/>
                <w:kern w:val="0"/>
                <w:szCs w:val="21"/>
              </w:rPr>
            </w:pPr>
          </w:p>
        </w:tc>
        <w:tc>
          <w:tcPr>
            <w:tcW w:w="735" w:type="dxa"/>
            <w:vMerge w:val="continue"/>
            <w:vAlign w:val="center"/>
          </w:tcPr>
          <w:p>
            <w:pPr>
              <w:widowControl/>
              <w:spacing w:line="280" w:lineRule="exact"/>
              <w:jc w:val="left"/>
              <w:rPr>
                <w:rFonts w:ascii="Times New Roman" w:hAnsi="Times New Roman" w:eastAsia="仿宋_GB2312" w:cs="Times New Roman"/>
                <w:color w:val="000000"/>
                <w:kern w:val="0"/>
                <w:szCs w:val="21"/>
              </w:rPr>
            </w:pPr>
          </w:p>
        </w:tc>
        <w:tc>
          <w:tcPr>
            <w:tcW w:w="1005" w:type="dxa"/>
            <w:vMerge w:val="continue"/>
            <w:vAlign w:val="center"/>
          </w:tcPr>
          <w:p>
            <w:pPr>
              <w:widowControl/>
              <w:spacing w:line="280" w:lineRule="exact"/>
              <w:jc w:val="left"/>
              <w:rPr>
                <w:rFonts w:ascii="Times New Roman" w:hAnsi="Times New Roman" w:eastAsia="仿宋_GB2312" w:cs="Times New Roman"/>
                <w:color w:val="000000"/>
                <w:kern w:val="0"/>
                <w:szCs w:val="21"/>
              </w:rPr>
            </w:pPr>
          </w:p>
        </w:tc>
        <w:tc>
          <w:tcPr>
            <w:tcW w:w="1644" w:type="dxa"/>
            <w:vAlign w:val="center"/>
          </w:tcPr>
          <w:p>
            <w:pPr>
              <w:widowControl/>
              <w:spacing w:line="28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指标2：</w:t>
            </w:r>
          </w:p>
        </w:tc>
        <w:tc>
          <w:tcPr>
            <w:tcW w:w="876" w:type="dxa"/>
            <w:vAlign w:val="center"/>
          </w:tcPr>
          <w:p>
            <w:pPr>
              <w:widowControl/>
              <w:spacing w:line="28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1455" w:type="dxa"/>
            <w:vAlign w:val="center"/>
          </w:tcPr>
          <w:p>
            <w:pPr>
              <w:widowControl/>
              <w:spacing w:line="28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855" w:type="dxa"/>
            <w:vAlign w:val="center"/>
          </w:tcPr>
          <w:p>
            <w:pPr>
              <w:widowControl/>
              <w:spacing w:line="28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783" w:type="dxa"/>
            <w:vAlign w:val="center"/>
          </w:tcPr>
          <w:p>
            <w:pPr>
              <w:widowControl/>
              <w:spacing w:line="28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1418" w:type="dxa"/>
            <w:vAlign w:val="center"/>
          </w:tcPr>
          <w:p>
            <w:pPr>
              <w:widowControl/>
              <w:spacing w:line="28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vAlign w:val="center"/>
          </w:tcPr>
          <w:p>
            <w:pPr>
              <w:widowControl/>
              <w:spacing w:line="280" w:lineRule="exact"/>
              <w:jc w:val="left"/>
              <w:rPr>
                <w:rFonts w:ascii="Times New Roman" w:hAnsi="Times New Roman" w:eastAsia="仿宋_GB2312" w:cs="Times New Roman"/>
                <w:color w:val="000000"/>
                <w:kern w:val="0"/>
                <w:szCs w:val="21"/>
              </w:rPr>
            </w:pPr>
          </w:p>
        </w:tc>
        <w:tc>
          <w:tcPr>
            <w:tcW w:w="735" w:type="dxa"/>
            <w:vMerge w:val="continue"/>
            <w:vAlign w:val="center"/>
          </w:tcPr>
          <w:p>
            <w:pPr>
              <w:widowControl/>
              <w:spacing w:line="280" w:lineRule="exact"/>
              <w:jc w:val="left"/>
              <w:rPr>
                <w:rFonts w:ascii="Times New Roman" w:hAnsi="Times New Roman" w:eastAsia="仿宋_GB2312" w:cs="Times New Roman"/>
                <w:color w:val="000000"/>
                <w:kern w:val="0"/>
                <w:szCs w:val="21"/>
              </w:rPr>
            </w:pPr>
          </w:p>
        </w:tc>
        <w:tc>
          <w:tcPr>
            <w:tcW w:w="1005" w:type="dxa"/>
            <w:vMerge w:val="continue"/>
            <w:vAlign w:val="center"/>
          </w:tcPr>
          <w:p>
            <w:pPr>
              <w:widowControl/>
              <w:spacing w:line="280" w:lineRule="exact"/>
              <w:jc w:val="left"/>
              <w:rPr>
                <w:rFonts w:ascii="Times New Roman" w:hAnsi="Times New Roman" w:eastAsia="仿宋_GB2312" w:cs="Times New Roman"/>
                <w:color w:val="000000"/>
                <w:kern w:val="0"/>
                <w:szCs w:val="21"/>
              </w:rPr>
            </w:pPr>
          </w:p>
        </w:tc>
        <w:tc>
          <w:tcPr>
            <w:tcW w:w="1644" w:type="dxa"/>
            <w:vAlign w:val="center"/>
          </w:tcPr>
          <w:p>
            <w:pPr>
              <w:widowControl/>
              <w:spacing w:line="28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w:t>
            </w:r>
          </w:p>
        </w:tc>
        <w:tc>
          <w:tcPr>
            <w:tcW w:w="876" w:type="dxa"/>
            <w:vAlign w:val="center"/>
          </w:tcPr>
          <w:p>
            <w:pPr>
              <w:widowControl/>
              <w:spacing w:line="28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1455" w:type="dxa"/>
            <w:vAlign w:val="center"/>
          </w:tcPr>
          <w:p>
            <w:pPr>
              <w:widowControl/>
              <w:spacing w:line="28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855" w:type="dxa"/>
            <w:vAlign w:val="center"/>
          </w:tcPr>
          <w:p>
            <w:pPr>
              <w:widowControl/>
              <w:spacing w:line="28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783" w:type="dxa"/>
            <w:vAlign w:val="center"/>
          </w:tcPr>
          <w:p>
            <w:pPr>
              <w:widowControl/>
              <w:spacing w:line="28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1418" w:type="dxa"/>
            <w:vAlign w:val="center"/>
          </w:tcPr>
          <w:p>
            <w:pPr>
              <w:widowControl/>
              <w:spacing w:line="28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vAlign w:val="center"/>
          </w:tcPr>
          <w:p>
            <w:pPr>
              <w:widowControl/>
              <w:spacing w:line="280" w:lineRule="exact"/>
              <w:jc w:val="center"/>
              <w:rPr>
                <w:rFonts w:ascii="Times New Roman" w:hAnsi="Times New Roman" w:eastAsia="仿宋_GB2312" w:cs="Times New Roman"/>
                <w:color w:val="000000"/>
                <w:kern w:val="0"/>
                <w:szCs w:val="21"/>
              </w:rPr>
            </w:pPr>
          </w:p>
        </w:tc>
        <w:tc>
          <w:tcPr>
            <w:tcW w:w="735" w:type="dxa"/>
            <w:vMerge w:val="continue"/>
            <w:vAlign w:val="center"/>
          </w:tcPr>
          <w:p>
            <w:pPr>
              <w:widowControl/>
              <w:spacing w:line="280" w:lineRule="exact"/>
              <w:jc w:val="left"/>
              <w:rPr>
                <w:rFonts w:ascii="Times New Roman" w:hAnsi="Times New Roman" w:eastAsia="仿宋_GB2312" w:cs="Times New Roman"/>
                <w:color w:val="000000"/>
                <w:kern w:val="0"/>
                <w:szCs w:val="21"/>
              </w:rPr>
            </w:pPr>
          </w:p>
        </w:tc>
        <w:tc>
          <w:tcPr>
            <w:tcW w:w="1005" w:type="dxa"/>
            <w:vMerge w:val="restart"/>
            <w:vAlign w:val="center"/>
          </w:tcPr>
          <w:p>
            <w:pPr>
              <w:widowControl/>
              <w:spacing w:line="28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可持续影响指标</w:t>
            </w:r>
          </w:p>
        </w:tc>
        <w:tc>
          <w:tcPr>
            <w:tcW w:w="1644" w:type="dxa"/>
            <w:vAlign w:val="center"/>
          </w:tcPr>
          <w:p>
            <w:pPr>
              <w:widowControl/>
              <w:spacing w:line="28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指标1：</w:t>
            </w:r>
          </w:p>
        </w:tc>
        <w:tc>
          <w:tcPr>
            <w:tcW w:w="876" w:type="dxa"/>
            <w:vAlign w:val="center"/>
          </w:tcPr>
          <w:p>
            <w:pPr>
              <w:widowControl/>
              <w:spacing w:line="28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1455" w:type="dxa"/>
            <w:vAlign w:val="center"/>
          </w:tcPr>
          <w:p>
            <w:pPr>
              <w:widowControl/>
              <w:spacing w:line="28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855" w:type="dxa"/>
            <w:vAlign w:val="center"/>
          </w:tcPr>
          <w:p>
            <w:pPr>
              <w:widowControl/>
              <w:spacing w:line="28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783" w:type="dxa"/>
            <w:vAlign w:val="center"/>
          </w:tcPr>
          <w:p>
            <w:pPr>
              <w:widowControl/>
              <w:spacing w:line="28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1418" w:type="dxa"/>
            <w:vAlign w:val="center"/>
          </w:tcPr>
          <w:p>
            <w:pPr>
              <w:widowControl/>
              <w:spacing w:line="28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vAlign w:val="center"/>
          </w:tcPr>
          <w:p>
            <w:pPr>
              <w:spacing w:line="280" w:lineRule="exact"/>
              <w:jc w:val="left"/>
              <w:rPr>
                <w:rFonts w:ascii="Times New Roman" w:hAnsi="Times New Roman" w:eastAsia="仿宋_GB2312" w:cs="Times New Roman"/>
                <w:color w:val="000000"/>
                <w:kern w:val="0"/>
                <w:szCs w:val="21"/>
              </w:rPr>
            </w:pPr>
          </w:p>
        </w:tc>
        <w:tc>
          <w:tcPr>
            <w:tcW w:w="735" w:type="dxa"/>
            <w:vMerge w:val="continue"/>
            <w:vAlign w:val="center"/>
          </w:tcPr>
          <w:p>
            <w:pPr>
              <w:widowControl/>
              <w:spacing w:line="280" w:lineRule="exact"/>
              <w:jc w:val="left"/>
              <w:rPr>
                <w:rFonts w:ascii="Times New Roman" w:hAnsi="Times New Roman" w:eastAsia="仿宋_GB2312" w:cs="Times New Roman"/>
                <w:color w:val="000000"/>
                <w:kern w:val="0"/>
                <w:szCs w:val="21"/>
              </w:rPr>
            </w:pPr>
          </w:p>
        </w:tc>
        <w:tc>
          <w:tcPr>
            <w:tcW w:w="1005" w:type="dxa"/>
            <w:vMerge w:val="continue"/>
            <w:vAlign w:val="center"/>
          </w:tcPr>
          <w:p>
            <w:pPr>
              <w:widowControl/>
              <w:spacing w:line="280" w:lineRule="exact"/>
              <w:jc w:val="left"/>
              <w:rPr>
                <w:rFonts w:ascii="Times New Roman" w:hAnsi="Times New Roman" w:eastAsia="仿宋_GB2312" w:cs="Times New Roman"/>
                <w:color w:val="000000"/>
                <w:kern w:val="0"/>
                <w:szCs w:val="21"/>
              </w:rPr>
            </w:pPr>
          </w:p>
        </w:tc>
        <w:tc>
          <w:tcPr>
            <w:tcW w:w="1644" w:type="dxa"/>
            <w:vAlign w:val="center"/>
          </w:tcPr>
          <w:p>
            <w:pPr>
              <w:widowControl/>
              <w:spacing w:line="28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指标2：</w:t>
            </w:r>
          </w:p>
        </w:tc>
        <w:tc>
          <w:tcPr>
            <w:tcW w:w="876" w:type="dxa"/>
            <w:vAlign w:val="center"/>
          </w:tcPr>
          <w:p>
            <w:pPr>
              <w:widowControl/>
              <w:spacing w:line="28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1455" w:type="dxa"/>
            <w:vAlign w:val="center"/>
          </w:tcPr>
          <w:p>
            <w:pPr>
              <w:widowControl/>
              <w:spacing w:line="28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855" w:type="dxa"/>
            <w:vAlign w:val="center"/>
          </w:tcPr>
          <w:p>
            <w:pPr>
              <w:widowControl/>
              <w:spacing w:line="28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783" w:type="dxa"/>
            <w:vAlign w:val="center"/>
          </w:tcPr>
          <w:p>
            <w:pPr>
              <w:widowControl/>
              <w:spacing w:line="28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1418" w:type="dxa"/>
            <w:vAlign w:val="center"/>
          </w:tcPr>
          <w:p>
            <w:pPr>
              <w:widowControl/>
              <w:spacing w:line="28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vAlign w:val="center"/>
          </w:tcPr>
          <w:p>
            <w:pPr>
              <w:spacing w:line="280" w:lineRule="exact"/>
              <w:jc w:val="left"/>
              <w:rPr>
                <w:rFonts w:ascii="Times New Roman" w:hAnsi="Times New Roman" w:eastAsia="仿宋_GB2312" w:cs="Times New Roman"/>
                <w:color w:val="000000"/>
                <w:kern w:val="0"/>
                <w:szCs w:val="21"/>
              </w:rPr>
            </w:pPr>
          </w:p>
        </w:tc>
        <w:tc>
          <w:tcPr>
            <w:tcW w:w="735" w:type="dxa"/>
            <w:vMerge w:val="continue"/>
            <w:vAlign w:val="center"/>
          </w:tcPr>
          <w:p>
            <w:pPr>
              <w:widowControl/>
              <w:spacing w:line="280" w:lineRule="exact"/>
              <w:jc w:val="left"/>
              <w:rPr>
                <w:rFonts w:ascii="Times New Roman" w:hAnsi="Times New Roman" w:eastAsia="仿宋_GB2312" w:cs="Times New Roman"/>
                <w:color w:val="000000"/>
                <w:kern w:val="0"/>
                <w:szCs w:val="21"/>
              </w:rPr>
            </w:pPr>
          </w:p>
        </w:tc>
        <w:tc>
          <w:tcPr>
            <w:tcW w:w="1005" w:type="dxa"/>
            <w:vMerge w:val="continue"/>
            <w:vAlign w:val="center"/>
          </w:tcPr>
          <w:p>
            <w:pPr>
              <w:widowControl/>
              <w:spacing w:line="280" w:lineRule="exact"/>
              <w:jc w:val="left"/>
              <w:rPr>
                <w:rFonts w:ascii="Times New Roman" w:hAnsi="Times New Roman" w:eastAsia="仿宋_GB2312" w:cs="Times New Roman"/>
                <w:color w:val="000000"/>
                <w:kern w:val="0"/>
                <w:szCs w:val="21"/>
              </w:rPr>
            </w:pPr>
          </w:p>
        </w:tc>
        <w:tc>
          <w:tcPr>
            <w:tcW w:w="1644" w:type="dxa"/>
            <w:vAlign w:val="center"/>
          </w:tcPr>
          <w:p>
            <w:pPr>
              <w:widowControl/>
              <w:spacing w:line="28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w:t>
            </w:r>
          </w:p>
        </w:tc>
        <w:tc>
          <w:tcPr>
            <w:tcW w:w="876" w:type="dxa"/>
            <w:vAlign w:val="center"/>
          </w:tcPr>
          <w:p>
            <w:pPr>
              <w:widowControl/>
              <w:spacing w:line="28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1455" w:type="dxa"/>
            <w:vAlign w:val="center"/>
          </w:tcPr>
          <w:p>
            <w:pPr>
              <w:widowControl/>
              <w:spacing w:line="28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855" w:type="dxa"/>
            <w:vAlign w:val="center"/>
          </w:tcPr>
          <w:p>
            <w:pPr>
              <w:widowControl/>
              <w:spacing w:line="28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783" w:type="dxa"/>
            <w:vAlign w:val="center"/>
          </w:tcPr>
          <w:p>
            <w:pPr>
              <w:widowControl/>
              <w:spacing w:line="28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1418" w:type="dxa"/>
            <w:vAlign w:val="center"/>
          </w:tcPr>
          <w:p>
            <w:pPr>
              <w:widowControl/>
              <w:spacing w:line="28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vAlign w:val="center"/>
          </w:tcPr>
          <w:p>
            <w:pPr>
              <w:spacing w:line="280" w:lineRule="exact"/>
              <w:jc w:val="left"/>
              <w:rPr>
                <w:rFonts w:ascii="Times New Roman" w:hAnsi="Times New Roman" w:eastAsia="仿宋_GB2312" w:cs="Times New Roman"/>
                <w:color w:val="000000"/>
                <w:kern w:val="0"/>
                <w:szCs w:val="21"/>
              </w:rPr>
            </w:pPr>
          </w:p>
        </w:tc>
        <w:tc>
          <w:tcPr>
            <w:tcW w:w="735" w:type="dxa"/>
            <w:vMerge w:val="continue"/>
            <w:vAlign w:val="center"/>
          </w:tcPr>
          <w:p>
            <w:pPr>
              <w:widowControl/>
              <w:spacing w:line="280" w:lineRule="exact"/>
              <w:jc w:val="center"/>
              <w:rPr>
                <w:rFonts w:ascii="Times New Roman" w:hAnsi="Times New Roman" w:eastAsia="仿宋_GB2312" w:cs="Times New Roman"/>
                <w:color w:val="000000"/>
                <w:kern w:val="0"/>
                <w:szCs w:val="21"/>
              </w:rPr>
            </w:pPr>
          </w:p>
        </w:tc>
        <w:tc>
          <w:tcPr>
            <w:tcW w:w="1005" w:type="dxa"/>
            <w:vMerge w:val="restart"/>
            <w:vAlign w:val="center"/>
          </w:tcPr>
          <w:p>
            <w:pPr>
              <w:widowControl/>
              <w:spacing w:line="28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服务对象满意度指标</w:t>
            </w:r>
          </w:p>
        </w:tc>
        <w:tc>
          <w:tcPr>
            <w:tcW w:w="1644" w:type="dxa"/>
            <w:vAlign w:val="center"/>
          </w:tcPr>
          <w:p>
            <w:pPr>
              <w:widowControl/>
              <w:spacing w:line="28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指标1：服务全市青年满意度</w:t>
            </w:r>
          </w:p>
        </w:tc>
        <w:tc>
          <w:tcPr>
            <w:tcW w:w="876" w:type="dxa"/>
            <w:vAlign w:val="center"/>
          </w:tcPr>
          <w:p>
            <w:pPr>
              <w:widowControl/>
              <w:spacing w:line="28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w:t>
            </w:r>
            <w:r>
              <w:rPr>
                <w:rFonts w:ascii="Times New Roman" w:hAnsi="Times New Roman" w:cs="Times New Roman"/>
                <w:color w:val="000000"/>
                <w:kern w:val="0"/>
                <w:szCs w:val="21"/>
              </w:rPr>
              <w:t>90%</w:t>
            </w:r>
          </w:p>
        </w:tc>
        <w:tc>
          <w:tcPr>
            <w:tcW w:w="1455" w:type="dxa"/>
            <w:vAlign w:val="center"/>
          </w:tcPr>
          <w:p>
            <w:pPr>
              <w:widowControl/>
              <w:spacing w:line="28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r>
              <w:rPr>
                <w:rFonts w:ascii="Times New Roman" w:hAnsi="Times New Roman" w:cs="Times New Roman"/>
                <w:color w:val="000000"/>
                <w:kern w:val="0"/>
                <w:szCs w:val="21"/>
              </w:rPr>
              <w:t>95%</w:t>
            </w:r>
          </w:p>
        </w:tc>
        <w:tc>
          <w:tcPr>
            <w:tcW w:w="855" w:type="dxa"/>
            <w:vAlign w:val="center"/>
          </w:tcPr>
          <w:p>
            <w:pPr>
              <w:widowControl/>
              <w:spacing w:line="28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r>
              <w:rPr>
                <w:rFonts w:ascii="Times New Roman" w:hAnsi="Times New Roman" w:cs="Times New Roman"/>
                <w:color w:val="000000"/>
                <w:kern w:val="0"/>
                <w:szCs w:val="21"/>
              </w:rPr>
              <w:t>10</w:t>
            </w:r>
          </w:p>
        </w:tc>
        <w:tc>
          <w:tcPr>
            <w:tcW w:w="783" w:type="dxa"/>
            <w:vAlign w:val="center"/>
          </w:tcPr>
          <w:p>
            <w:pPr>
              <w:widowControl/>
              <w:spacing w:line="28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r>
              <w:rPr>
                <w:rFonts w:ascii="Times New Roman" w:hAnsi="Times New Roman" w:cs="Times New Roman"/>
                <w:color w:val="000000"/>
                <w:kern w:val="0"/>
                <w:szCs w:val="21"/>
              </w:rPr>
              <w:t>10</w:t>
            </w:r>
          </w:p>
        </w:tc>
        <w:tc>
          <w:tcPr>
            <w:tcW w:w="1418" w:type="dxa"/>
            <w:vAlign w:val="center"/>
          </w:tcPr>
          <w:p>
            <w:pPr>
              <w:widowControl/>
              <w:spacing w:line="28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vAlign w:val="center"/>
          </w:tcPr>
          <w:p>
            <w:pPr>
              <w:spacing w:line="280" w:lineRule="exact"/>
              <w:jc w:val="left"/>
              <w:rPr>
                <w:rFonts w:ascii="Times New Roman" w:hAnsi="Times New Roman" w:eastAsia="仿宋_GB2312" w:cs="Times New Roman"/>
                <w:color w:val="000000"/>
                <w:kern w:val="0"/>
                <w:szCs w:val="21"/>
              </w:rPr>
            </w:pPr>
          </w:p>
        </w:tc>
        <w:tc>
          <w:tcPr>
            <w:tcW w:w="735" w:type="dxa"/>
            <w:vMerge w:val="continue"/>
            <w:vAlign w:val="center"/>
          </w:tcPr>
          <w:p>
            <w:pPr>
              <w:widowControl/>
              <w:spacing w:line="280" w:lineRule="exact"/>
              <w:jc w:val="left"/>
              <w:rPr>
                <w:rFonts w:ascii="Times New Roman" w:hAnsi="Times New Roman" w:eastAsia="仿宋_GB2312" w:cs="Times New Roman"/>
                <w:color w:val="000000"/>
                <w:kern w:val="0"/>
                <w:szCs w:val="21"/>
              </w:rPr>
            </w:pPr>
          </w:p>
        </w:tc>
        <w:tc>
          <w:tcPr>
            <w:tcW w:w="1005" w:type="dxa"/>
            <w:vMerge w:val="continue"/>
            <w:vAlign w:val="center"/>
          </w:tcPr>
          <w:p>
            <w:pPr>
              <w:widowControl/>
              <w:spacing w:line="280" w:lineRule="exact"/>
              <w:jc w:val="left"/>
              <w:rPr>
                <w:rFonts w:ascii="Times New Roman" w:hAnsi="Times New Roman" w:eastAsia="仿宋_GB2312" w:cs="Times New Roman"/>
                <w:color w:val="000000"/>
                <w:kern w:val="0"/>
                <w:szCs w:val="21"/>
              </w:rPr>
            </w:pPr>
          </w:p>
        </w:tc>
        <w:tc>
          <w:tcPr>
            <w:tcW w:w="1644" w:type="dxa"/>
            <w:vAlign w:val="center"/>
          </w:tcPr>
          <w:p>
            <w:pPr>
              <w:widowControl/>
              <w:spacing w:line="28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指标2：</w:t>
            </w:r>
          </w:p>
        </w:tc>
        <w:tc>
          <w:tcPr>
            <w:tcW w:w="876" w:type="dxa"/>
            <w:vAlign w:val="center"/>
          </w:tcPr>
          <w:p>
            <w:pPr>
              <w:widowControl/>
              <w:spacing w:line="28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1455" w:type="dxa"/>
            <w:vAlign w:val="center"/>
          </w:tcPr>
          <w:p>
            <w:pPr>
              <w:widowControl/>
              <w:spacing w:line="28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855" w:type="dxa"/>
            <w:vAlign w:val="center"/>
          </w:tcPr>
          <w:p>
            <w:pPr>
              <w:widowControl/>
              <w:spacing w:line="28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783" w:type="dxa"/>
            <w:vAlign w:val="center"/>
          </w:tcPr>
          <w:p>
            <w:pPr>
              <w:widowControl/>
              <w:spacing w:line="28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1418" w:type="dxa"/>
            <w:vAlign w:val="center"/>
          </w:tcPr>
          <w:p>
            <w:pPr>
              <w:widowControl/>
              <w:spacing w:line="28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vAlign w:val="center"/>
          </w:tcPr>
          <w:p>
            <w:pPr>
              <w:widowControl/>
              <w:spacing w:line="280" w:lineRule="exact"/>
              <w:jc w:val="left"/>
              <w:rPr>
                <w:rFonts w:ascii="Times New Roman" w:hAnsi="Times New Roman" w:eastAsia="仿宋_GB2312" w:cs="Times New Roman"/>
                <w:color w:val="000000"/>
                <w:kern w:val="0"/>
                <w:szCs w:val="21"/>
              </w:rPr>
            </w:pPr>
          </w:p>
        </w:tc>
        <w:tc>
          <w:tcPr>
            <w:tcW w:w="735" w:type="dxa"/>
            <w:vMerge w:val="continue"/>
            <w:vAlign w:val="center"/>
          </w:tcPr>
          <w:p>
            <w:pPr>
              <w:widowControl/>
              <w:spacing w:line="280" w:lineRule="exact"/>
              <w:jc w:val="left"/>
              <w:rPr>
                <w:rFonts w:ascii="Times New Roman" w:hAnsi="Times New Roman" w:eastAsia="仿宋_GB2312" w:cs="Times New Roman"/>
                <w:color w:val="000000"/>
                <w:kern w:val="0"/>
                <w:szCs w:val="21"/>
              </w:rPr>
            </w:pPr>
          </w:p>
        </w:tc>
        <w:tc>
          <w:tcPr>
            <w:tcW w:w="1005" w:type="dxa"/>
            <w:vMerge w:val="continue"/>
            <w:vAlign w:val="center"/>
          </w:tcPr>
          <w:p>
            <w:pPr>
              <w:widowControl/>
              <w:spacing w:line="280" w:lineRule="exact"/>
              <w:jc w:val="left"/>
              <w:rPr>
                <w:rFonts w:ascii="Times New Roman" w:hAnsi="Times New Roman" w:eastAsia="仿宋_GB2312" w:cs="Times New Roman"/>
                <w:color w:val="000000"/>
                <w:kern w:val="0"/>
                <w:szCs w:val="21"/>
              </w:rPr>
            </w:pPr>
          </w:p>
        </w:tc>
        <w:tc>
          <w:tcPr>
            <w:tcW w:w="1644" w:type="dxa"/>
            <w:vAlign w:val="center"/>
          </w:tcPr>
          <w:p>
            <w:pPr>
              <w:widowControl/>
              <w:spacing w:line="28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w:t>
            </w:r>
          </w:p>
        </w:tc>
        <w:tc>
          <w:tcPr>
            <w:tcW w:w="876" w:type="dxa"/>
            <w:vAlign w:val="center"/>
          </w:tcPr>
          <w:p>
            <w:pPr>
              <w:widowControl/>
              <w:spacing w:line="28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1455" w:type="dxa"/>
            <w:vAlign w:val="center"/>
          </w:tcPr>
          <w:p>
            <w:pPr>
              <w:widowControl/>
              <w:spacing w:line="28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855" w:type="dxa"/>
            <w:vAlign w:val="center"/>
          </w:tcPr>
          <w:p>
            <w:pPr>
              <w:widowControl/>
              <w:spacing w:line="28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783" w:type="dxa"/>
            <w:vAlign w:val="center"/>
          </w:tcPr>
          <w:p>
            <w:pPr>
              <w:widowControl/>
              <w:spacing w:line="28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c>
          <w:tcPr>
            <w:tcW w:w="1418" w:type="dxa"/>
            <w:vAlign w:val="center"/>
          </w:tcPr>
          <w:p>
            <w:pPr>
              <w:widowControl/>
              <w:spacing w:line="28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6795" w:type="dxa"/>
            <w:gridSpan w:val="6"/>
            <w:vAlign w:val="center"/>
          </w:tcPr>
          <w:p>
            <w:pPr>
              <w:widowControl/>
              <w:spacing w:line="28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总分</w:t>
            </w:r>
          </w:p>
        </w:tc>
        <w:tc>
          <w:tcPr>
            <w:tcW w:w="855" w:type="dxa"/>
            <w:vAlign w:val="center"/>
          </w:tcPr>
          <w:p>
            <w:pPr>
              <w:widowControl/>
              <w:spacing w:line="28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100</w:t>
            </w:r>
            <w:r>
              <w:rPr>
                <w:rFonts w:ascii="Times New Roman" w:hAnsi="Times New Roman" w:cs="Times New Roman"/>
                <w:color w:val="000000"/>
                <w:kern w:val="0"/>
                <w:szCs w:val="21"/>
              </w:rPr>
              <w:t>分</w:t>
            </w:r>
          </w:p>
        </w:tc>
        <w:tc>
          <w:tcPr>
            <w:tcW w:w="783" w:type="dxa"/>
            <w:vAlign w:val="center"/>
          </w:tcPr>
          <w:p>
            <w:pPr>
              <w:widowControl/>
              <w:spacing w:line="28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r>
              <w:rPr>
                <w:rFonts w:ascii="Times New Roman" w:hAnsi="Times New Roman" w:cs="Times New Roman"/>
                <w:color w:val="000000"/>
                <w:kern w:val="0"/>
                <w:szCs w:val="21"/>
              </w:rPr>
              <w:t>99</w:t>
            </w:r>
          </w:p>
        </w:tc>
        <w:tc>
          <w:tcPr>
            <w:tcW w:w="1418" w:type="dxa"/>
            <w:vAlign w:val="center"/>
          </w:tcPr>
          <w:p>
            <w:pPr>
              <w:widowControl/>
              <w:spacing w:line="28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w:t>
            </w:r>
          </w:p>
        </w:tc>
      </w:tr>
    </w:tbl>
    <w:p>
      <w:pPr>
        <w:rPr>
          <w:rFonts w:ascii="Times New Roman" w:hAnsi="Times New Roman" w:cs="Times New Roman"/>
        </w:rPr>
      </w:pPr>
      <w:r>
        <w:rPr>
          <w:rFonts w:ascii="Times New Roman" w:hAnsi="Times New Roman" w:eastAsia="仿宋_GB2312" w:cs="Times New Roman"/>
          <w:kern w:val="0"/>
          <w:szCs w:val="21"/>
        </w:rPr>
        <w:t>填表人：</w:t>
      </w:r>
      <w:r>
        <w:rPr>
          <w:rFonts w:ascii="Times New Roman" w:hAnsi="Times New Roman" w:cs="Times New Roman"/>
          <w:kern w:val="0"/>
          <w:szCs w:val="21"/>
        </w:rPr>
        <w:t>赵洁</w:t>
      </w:r>
      <w:r>
        <w:rPr>
          <w:rFonts w:ascii="Times New Roman" w:hAnsi="Times New Roman" w:eastAsia="仿宋_GB2312" w:cs="Times New Roman"/>
          <w:kern w:val="0"/>
          <w:szCs w:val="21"/>
        </w:rPr>
        <w:t xml:space="preserve">   填报日期：  </w:t>
      </w:r>
      <w:r>
        <w:rPr>
          <w:rFonts w:ascii="Times New Roman" w:hAnsi="Times New Roman" w:cs="Times New Roman"/>
          <w:kern w:val="0"/>
          <w:szCs w:val="21"/>
        </w:rPr>
        <w:t>2023.3.4</w:t>
      </w:r>
      <w:r>
        <w:rPr>
          <w:rFonts w:ascii="Times New Roman" w:hAnsi="Times New Roman" w:eastAsia="仿宋_GB2312" w:cs="Times New Roman"/>
          <w:kern w:val="0"/>
          <w:szCs w:val="21"/>
        </w:rPr>
        <w:t xml:space="preserve">     联系电话： </w:t>
      </w:r>
      <w:r>
        <w:rPr>
          <w:rFonts w:ascii="Times New Roman" w:hAnsi="Times New Roman" w:cs="Times New Roman"/>
          <w:kern w:val="0"/>
          <w:szCs w:val="21"/>
        </w:rPr>
        <w:t>15197710238</w:t>
      </w:r>
      <w:r>
        <w:rPr>
          <w:rFonts w:ascii="Times New Roman" w:hAnsi="Times New Roman" w:eastAsia="仿宋_GB2312" w:cs="Times New Roman"/>
          <w:kern w:val="0"/>
          <w:szCs w:val="21"/>
        </w:rPr>
        <w:t xml:space="preserve">  单位负责人签字：</w:t>
      </w:r>
    </w:p>
    <w:sectPr>
      <w:footerReference r:id="rId3" w:type="default"/>
      <w:pgSz w:w="11906" w:h="16838"/>
      <w:pgMar w:top="1701" w:right="1531" w:bottom="1531" w:left="1531" w:header="851" w:footer="1134"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6207878"/>
      <w:docPartObj>
        <w:docPartGallery w:val="AutoText"/>
      </w:docPartObj>
    </w:sdtPr>
    <w:sdtEndPr>
      <w:rPr>
        <w:rFonts w:hint="eastAsia" w:ascii="仿宋_GB2312" w:eastAsia="仿宋_GB2312"/>
        <w:sz w:val="28"/>
        <w:szCs w:val="28"/>
      </w:rPr>
    </w:sdtEndPr>
    <w:sdtContent>
      <w:p>
        <w:pPr>
          <w:pStyle w:val="4"/>
          <w:jc w:val="center"/>
        </w:pPr>
        <w:r>
          <w:rPr>
            <w:rFonts w:hint="eastAsia" w:ascii="仿宋_GB2312" w:eastAsia="仿宋_GB2312"/>
            <w:sz w:val="28"/>
            <w:szCs w:val="28"/>
          </w:rPr>
          <w:fldChar w:fldCharType="begin"/>
        </w:r>
        <w:r>
          <w:rPr>
            <w:rFonts w:hint="eastAsia" w:ascii="仿宋_GB2312" w:eastAsia="仿宋_GB2312"/>
            <w:sz w:val="28"/>
            <w:szCs w:val="28"/>
          </w:rPr>
          <w:instrText xml:space="preserve"> PAGE   \* MERGEFORMAT </w:instrText>
        </w:r>
        <w:r>
          <w:rPr>
            <w:rFonts w:hint="eastAsia" w:ascii="仿宋_GB2312" w:eastAsia="仿宋_GB2312"/>
            <w:sz w:val="28"/>
            <w:szCs w:val="28"/>
          </w:rPr>
          <w:fldChar w:fldCharType="separate"/>
        </w:r>
        <w:r>
          <w:rPr>
            <w:rFonts w:ascii="仿宋_GB2312" w:eastAsia="仿宋_GB2312"/>
            <w:sz w:val="28"/>
            <w:szCs w:val="28"/>
            <w:lang w:val="zh-CN"/>
          </w:rPr>
          <w:t>-</w:t>
        </w:r>
        <w:r>
          <w:rPr>
            <w:rFonts w:ascii="仿宋_GB2312" w:eastAsia="仿宋_GB2312"/>
            <w:sz w:val="28"/>
            <w:szCs w:val="28"/>
          </w:rPr>
          <w:t xml:space="preserve"> 4 -</w:t>
        </w:r>
        <w:r>
          <w:rPr>
            <w:rFonts w:hint="eastAsia" w:ascii="仿宋_GB2312" w:eastAsia="仿宋_GB2312"/>
            <w:sz w:val="28"/>
            <w:szCs w:val="28"/>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A4EDC3"/>
    <w:multiLevelType w:val="singleLevel"/>
    <w:tmpl w:val="07A4EDC3"/>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zU5ZjUwNzQ5ZDY2NWZhZDE1MDI1NjFmMWFkYTViNGIifQ=="/>
  </w:docVars>
  <w:rsids>
    <w:rsidRoot w:val="3C0E673C"/>
    <w:rsid w:val="002805B7"/>
    <w:rsid w:val="005842E7"/>
    <w:rsid w:val="00612124"/>
    <w:rsid w:val="00AE30B0"/>
    <w:rsid w:val="01967DCC"/>
    <w:rsid w:val="15FB24A7"/>
    <w:rsid w:val="233012E3"/>
    <w:rsid w:val="285277E5"/>
    <w:rsid w:val="3C0E673C"/>
    <w:rsid w:val="3DF90421"/>
    <w:rsid w:val="3E432A0F"/>
    <w:rsid w:val="48EC5AF0"/>
    <w:rsid w:val="61286B5F"/>
    <w:rsid w:val="63E5460A"/>
    <w:rsid w:val="6AE21BB9"/>
    <w:rsid w:val="7DB30F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index 5"/>
    <w:basedOn w:val="1"/>
    <w:next w:val="1"/>
    <w:qFormat/>
    <w:uiPriority w:val="0"/>
    <w:pPr>
      <w:suppressAutoHyphens/>
      <w:ind w:left="1680"/>
    </w:pPr>
    <w:rPr>
      <w:rFonts w:ascii="Times New Roman" w:hAnsi="Times New Roman"/>
      <w:szCs w:val="20"/>
    </w:rPr>
  </w:style>
  <w:style w:type="paragraph" w:styleId="3">
    <w:name w:val="Body Text"/>
    <w:basedOn w:val="1"/>
    <w:next w:val="2"/>
    <w:qFormat/>
    <w:uiPriority w:val="0"/>
    <w:pPr>
      <w:spacing w:after="120"/>
    </w:pPr>
    <w:rPr>
      <w:rFonts w:ascii="Times New Roman" w:hAnsi="Times New Roman"/>
    </w:rPr>
  </w:style>
  <w:style w:type="paragraph" w:styleId="4">
    <w:name w:val="footer"/>
    <w:basedOn w:val="1"/>
    <w:link w:val="11"/>
    <w:uiPriority w:val="99"/>
    <w:pPr>
      <w:tabs>
        <w:tab w:val="center" w:pos="4153"/>
        <w:tab w:val="right" w:pos="8306"/>
      </w:tabs>
      <w:snapToGrid w:val="0"/>
      <w:jc w:val="left"/>
    </w:pPr>
    <w:rPr>
      <w:sz w:val="18"/>
      <w:szCs w:val="18"/>
    </w:rPr>
  </w:style>
  <w:style w:type="paragraph" w:styleId="5">
    <w:name w:val="header"/>
    <w:basedOn w:val="1"/>
    <w:link w:val="10"/>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7">
    <w:name w:val="Normal (Web)"/>
    <w:basedOn w:val="1"/>
    <w:uiPriority w:val="0"/>
    <w:pPr>
      <w:spacing w:beforeAutospacing="1" w:afterAutospacing="1"/>
      <w:jc w:val="left"/>
    </w:pPr>
    <w:rPr>
      <w:rFonts w:cs="Times New Roman"/>
      <w:kern w:val="0"/>
      <w:sz w:val="24"/>
    </w:rPr>
  </w:style>
  <w:style w:type="character" w:customStyle="1" w:styleId="10">
    <w:name w:val="页眉 Char"/>
    <w:basedOn w:val="9"/>
    <w:link w:val="5"/>
    <w:uiPriority w:val="0"/>
    <w:rPr>
      <w:rFonts w:asciiTheme="minorHAnsi" w:hAnsiTheme="minorHAnsi" w:eastAsiaTheme="minorEastAsia" w:cstheme="minorBidi"/>
      <w:kern w:val="2"/>
      <w:sz w:val="18"/>
      <w:szCs w:val="18"/>
    </w:rPr>
  </w:style>
  <w:style w:type="character" w:customStyle="1" w:styleId="11">
    <w:name w:val="页脚 Char"/>
    <w:basedOn w:val="9"/>
    <w:link w:val="4"/>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3266</Words>
  <Characters>3453</Characters>
  <Lines>6</Lines>
  <Paragraphs>8</Paragraphs>
  <TotalTime>1</TotalTime>
  <ScaleCrop>false</ScaleCrop>
  <LinksUpToDate>false</LinksUpToDate>
  <CharactersWithSpaces>3625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2022-04-07T06:55:00Z</dcterms:created>
  <dc:creator>共青团益阳市委员会</dc:creator>
  <cp:lastModifiedBy>某人</cp:lastModifiedBy>
  <cp:lastPrinted>2023-03-15T08:44:00Z</cp:lastPrinted>
  <dcterms:modified xsi:type="dcterms:W3CDTF">2023-03-17T01:03:31Z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091B6839366E4804A5C1225709856A8E</vt:lpwstr>
  </property>
</Properties>
</file>